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440" w:right="-783" w:hanging="1866"/>
        <w:jc w:val="both"/>
        <w:rPr>
          <w:b/>
          <w:bCs/>
          <w:color w:val="000000" w:themeColor="text1"/>
          <w:szCs w:val="28"/>
          <w14:textFill>
            <w14:solidFill>
              <w14:schemeClr w14:val="tx1"/>
            </w14:solidFill>
          </w14:textFill>
        </w:rPr>
      </w:pPr>
      <w:bookmarkStart w:id="0" w:name="RANGE!A2:D91"/>
      <w:bookmarkStart w:id="1" w:name="_Hlk83470361"/>
      <w:r>
        <w:rPr>
          <w:b/>
          <w:bCs/>
          <w:color w:val="000000" w:themeColor="text1"/>
          <w:szCs w:val="28"/>
          <w:u w:val="single"/>
          <w14:textFill>
            <w14:solidFill>
              <w14:schemeClr w14:val="tx1"/>
            </w14:solidFill>
          </w14:textFill>
        </w:rPr>
        <w:t>Name of Work</w:t>
      </w:r>
      <w:r>
        <w:rPr>
          <w:b/>
          <w:bCs/>
          <w:color w:val="000000" w:themeColor="text1"/>
          <w:szCs w:val="28"/>
          <w14:textFill>
            <w14:solidFill>
              <w14:schemeClr w14:val="tx1"/>
            </w14:solidFill>
          </w14:textFill>
        </w:rPr>
        <w:t>:</w:t>
      </w:r>
      <w:bookmarkEnd w:id="0"/>
      <w:r>
        <w:rPr>
          <w:b/>
          <w:bCs/>
          <w:color w:val="000000" w:themeColor="text1"/>
          <w:szCs w:val="28"/>
          <w14:textFill>
            <w14:solidFill>
              <w14:schemeClr w14:val="tx1"/>
            </w14:solidFill>
          </w14:textFill>
        </w:rPr>
        <w:t xml:space="preserve">   </w:t>
      </w:r>
      <w:bookmarkEnd w:id="1"/>
      <w:bookmarkStart w:id="2" w:name="_Hlk83470372"/>
      <w:r>
        <w:rPr>
          <w:b/>
          <w:bCs/>
          <w:color w:val="000000" w:themeColor="text1"/>
          <w:szCs w:val="28"/>
          <w14:textFill>
            <w14:solidFill>
              <w14:schemeClr w14:val="tx1"/>
            </w14:solidFill>
          </w14:textFill>
        </w:rPr>
        <w:t>Formation of New Six lane road from Vengathur (Design Chainage: Ch 58+200) to Sengadu (Design Chainage: Ch 68+200) with paved shoulders and two lane service road on both sides in Section-III of Chennai Peripheral Ring Road Project under Package-EPC 04 on Engineering, Procurement and Construction (EPC) Mode including maintenance for 7 years.</w:t>
      </w:r>
    </w:p>
    <w:p>
      <w:pPr>
        <w:ind w:left="1440" w:right="-783" w:hanging="1866"/>
        <w:jc w:val="both"/>
        <w:rPr>
          <w:b/>
          <w:color w:val="000000" w:themeColor="text1"/>
          <w:sz w:val="16"/>
          <w:szCs w:val="16"/>
          <w:u w:val="single"/>
          <w14:textFill>
            <w14:solidFill>
              <w14:schemeClr w14:val="tx1"/>
            </w14:solidFill>
          </w14:textFill>
        </w:rPr>
      </w:pPr>
    </w:p>
    <w:p>
      <w:pPr>
        <w:tabs>
          <w:tab w:val="left" w:pos="540"/>
          <w:tab w:val="left" w:pos="1060"/>
          <w:tab w:val="left" w:pos="1620"/>
          <w:tab w:val="left" w:pos="2880"/>
          <w:tab w:val="left" w:pos="3580"/>
          <w:tab w:val="left" w:pos="4260"/>
          <w:tab w:val="left" w:pos="5000"/>
          <w:tab w:val="left" w:pos="5740"/>
          <w:tab w:val="left" w:pos="6480"/>
          <w:tab w:val="left" w:pos="6960"/>
          <w:tab w:val="left" w:pos="7880"/>
          <w:tab w:val="left" w:pos="8640"/>
        </w:tabs>
        <w:suppressAutoHyphens/>
        <w:spacing w:line="432" w:lineRule="auto"/>
        <w:jc w:val="center"/>
        <w:rPr>
          <w:b/>
          <w:color w:val="000000" w:themeColor="text1"/>
          <w:u w:val="single"/>
          <w14:textFill>
            <w14:solidFill>
              <w14:schemeClr w14:val="tx1"/>
            </w14:solidFill>
          </w14:textFill>
        </w:rPr>
      </w:pPr>
      <w:r>
        <w:rPr>
          <w:rFonts w:hint="default"/>
          <w:b/>
          <w:color w:val="000000" w:themeColor="text1"/>
          <w:u w:val="single"/>
          <w:lang w:val="en-US"/>
          <w14:textFill>
            <w14:solidFill>
              <w14:schemeClr w14:val="tx1"/>
            </w14:solidFill>
          </w14:textFill>
        </w:rPr>
        <w:t xml:space="preserve">Draft </w:t>
      </w:r>
      <w:r>
        <w:rPr>
          <w:b/>
          <w:color w:val="000000" w:themeColor="text1"/>
          <w:u w:val="single"/>
          <w14:textFill>
            <w14:solidFill>
              <w14:schemeClr w14:val="tx1"/>
            </w14:solidFill>
          </w14:textFill>
        </w:rPr>
        <w:t>Addendum No.</w:t>
      </w:r>
      <w:r>
        <w:rPr>
          <w:rFonts w:hint="default"/>
          <w:b/>
          <w:color w:val="000000" w:themeColor="text1"/>
          <w:u w:val="single"/>
          <w:lang w:val="en-US"/>
          <w14:textFill>
            <w14:solidFill>
              <w14:schemeClr w14:val="tx1"/>
            </w14:solidFill>
          </w14:textFill>
        </w:rPr>
        <w:t>4</w:t>
      </w:r>
      <w:r>
        <w:rPr>
          <w:b/>
          <w:color w:val="000000" w:themeColor="text1"/>
          <w:u w:val="single"/>
          <w14:textFill>
            <w14:solidFill>
              <w14:schemeClr w14:val="tx1"/>
            </w14:solidFill>
          </w14:textFill>
        </w:rPr>
        <w:t xml:space="preserve">  EPC04   Dated:  1</w:t>
      </w:r>
      <w:r>
        <w:rPr>
          <w:rFonts w:hint="default"/>
          <w:b/>
          <w:color w:val="000000" w:themeColor="text1"/>
          <w:u w:val="single"/>
          <w:lang w:val="en-US"/>
          <w14:textFill>
            <w14:solidFill>
              <w14:schemeClr w14:val="tx1"/>
            </w14:solidFill>
          </w14:textFill>
        </w:rPr>
        <w:t>3</w:t>
      </w:r>
      <w:r>
        <w:rPr>
          <w:b/>
          <w:color w:val="000000" w:themeColor="text1"/>
          <w:u w:val="single"/>
          <w14:textFill>
            <w14:solidFill>
              <w14:schemeClr w14:val="tx1"/>
            </w14:solidFill>
          </w14:textFill>
        </w:rPr>
        <w:t xml:space="preserve">.01.2022 for the </w:t>
      </w:r>
    </w:p>
    <w:p>
      <w:pPr>
        <w:spacing w:line="432" w:lineRule="auto"/>
        <w:jc w:val="center"/>
        <w:rPr>
          <w:b/>
          <w:color w:val="000000" w:themeColor="text1"/>
          <w:u w:val="single"/>
          <w14:textFill>
            <w14:solidFill>
              <w14:schemeClr w14:val="tx1"/>
            </w14:solidFill>
          </w14:textFill>
        </w:rPr>
      </w:pPr>
      <w:r>
        <w:rPr>
          <w:b/>
          <w:color w:val="000000" w:themeColor="text1"/>
          <w:u w:val="single"/>
          <w14:textFill>
            <w14:solidFill>
              <w14:schemeClr w14:val="tx1"/>
            </w14:solidFill>
          </w14:textFill>
        </w:rPr>
        <w:t>Tender Notice No: 11/IOCT/CPRR Section-3/EPC 03&amp;04/2021 Dated: 17.11.2021    Lot 2 (EPC 04)</w:t>
      </w:r>
    </w:p>
    <w:bookmarkEnd w:id="2"/>
    <w:p>
      <w:pPr>
        <w:tabs>
          <w:tab w:val="left" w:pos="540"/>
          <w:tab w:val="left" w:pos="1060"/>
          <w:tab w:val="left" w:pos="1620"/>
          <w:tab w:val="left" w:pos="2880"/>
          <w:tab w:val="left" w:pos="3580"/>
          <w:tab w:val="left" w:pos="4260"/>
          <w:tab w:val="left" w:pos="5000"/>
          <w:tab w:val="left" w:pos="5740"/>
          <w:tab w:val="left" w:pos="6480"/>
          <w:tab w:val="left" w:pos="6960"/>
          <w:tab w:val="left" w:pos="7880"/>
          <w:tab w:val="left" w:pos="8640"/>
        </w:tabs>
        <w:suppressAutoHyphens/>
        <w:rPr>
          <w:b/>
          <w:color w:val="000000" w:themeColor="text1"/>
          <w:sz w:val="6"/>
          <w:szCs w:val="6"/>
          <w:u w:val="single"/>
          <w14:textFill>
            <w14:solidFill>
              <w14:schemeClr w14:val="tx1"/>
            </w14:solidFill>
          </w14:textFill>
        </w:rPr>
      </w:pPr>
    </w:p>
    <w:p>
      <w:pPr>
        <w:tabs>
          <w:tab w:val="left" w:pos="540"/>
          <w:tab w:val="left" w:pos="1060"/>
          <w:tab w:val="left" w:pos="1620"/>
          <w:tab w:val="left" w:pos="2880"/>
          <w:tab w:val="left" w:pos="3580"/>
          <w:tab w:val="left" w:pos="4260"/>
          <w:tab w:val="left" w:pos="5000"/>
          <w:tab w:val="left" w:pos="5740"/>
          <w:tab w:val="left" w:pos="6480"/>
          <w:tab w:val="left" w:pos="6960"/>
          <w:tab w:val="left" w:pos="7880"/>
          <w:tab w:val="left" w:pos="8640"/>
        </w:tabs>
        <w:suppressAutoHyphens/>
        <w:rPr>
          <w:color w:val="000000" w:themeColor="text1"/>
          <w:sz w:val="2"/>
          <w:szCs w:val="22"/>
          <w14:textFill>
            <w14:solidFill>
              <w14:schemeClr w14:val="tx1"/>
            </w14:solidFill>
          </w14:textFill>
        </w:rPr>
      </w:pPr>
    </w:p>
    <w:tbl>
      <w:tblPr>
        <w:tblStyle w:val="5"/>
        <w:tblW w:w="5590" w:type="pct"/>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1452"/>
        <w:gridCol w:w="6913"/>
        <w:gridCol w:w="6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 w:hRule="atLeast"/>
          <w:tblHeader/>
        </w:trPr>
        <w:tc>
          <w:tcPr>
            <w:tcW w:w="179" w:type="pct"/>
            <w:tcBorders>
              <w:bottom w:val="single" w:color="auto" w:sz="4" w:space="0"/>
            </w:tcBorders>
            <w:shd w:val="clear" w:color="auto" w:fill="FBE4D5" w:themeFill="accent2" w:themeFillTint="33"/>
            <w:vAlign w:val="center"/>
          </w:tcPr>
          <w:p>
            <w:pPr>
              <w:autoSpaceDE w:val="0"/>
              <w:autoSpaceDN w:val="0"/>
              <w:adjustRightInd w:val="0"/>
              <w:spacing w:before="40" w:after="4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Sl. No.</w:t>
            </w:r>
          </w:p>
        </w:tc>
        <w:tc>
          <w:tcPr>
            <w:tcW w:w="458" w:type="pct"/>
            <w:tcBorders>
              <w:bottom w:val="single" w:color="auto" w:sz="4" w:space="0"/>
            </w:tcBorders>
            <w:shd w:val="clear" w:color="auto" w:fill="FBE4D5" w:themeFill="accent2" w:themeFillTint="33"/>
            <w:vAlign w:val="center"/>
          </w:tcPr>
          <w:p>
            <w:pPr>
              <w:autoSpaceDE w:val="0"/>
              <w:autoSpaceDN w:val="0"/>
              <w:adjustRightInd w:val="0"/>
              <w:spacing w:before="40" w:after="4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Section No., Clause No. &amp; Page No.</w:t>
            </w:r>
          </w:p>
        </w:tc>
        <w:tc>
          <w:tcPr>
            <w:tcW w:w="2181" w:type="pct"/>
            <w:tcBorders>
              <w:bottom w:val="single" w:color="auto" w:sz="4" w:space="0"/>
            </w:tcBorders>
            <w:shd w:val="clear" w:color="auto" w:fill="FBE4D5" w:themeFill="accent2" w:themeFillTint="33"/>
            <w:vAlign w:val="center"/>
          </w:tcPr>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As amended in Addendum No.</w:t>
            </w:r>
            <w:r>
              <w:rPr>
                <w:rFonts w:hint="default"/>
                <w:b/>
                <w:color w:val="000000" w:themeColor="text1"/>
                <w:sz w:val="21"/>
                <w:szCs w:val="21"/>
                <w:lang w:val="en-US"/>
                <w14:textFill>
                  <w14:solidFill>
                    <w14:schemeClr w14:val="tx1"/>
                  </w14:solidFill>
                </w14:textFill>
              </w:rPr>
              <w:t>3</w:t>
            </w:r>
          </w:p>
        </w:tc>
        <w:tc>
          <w:tcPr>
            <w:tcW w:w="2182" w:type="pct"/>
            <w:tcBorders>
              <w:bottom w:val="single" w:color="auto" w:sz="4" w:space="0"/>
            </w:tcBorders>
            <w:shd w:val="clear" w:color="auto" w:fill="FBE4D5" w:themeFill="accent2" w:themeFillTint="33"/>
            <w:vAlign w:val="center"/>
          </w:tcPr>
          <w:p>
            <w:pPr>
              <w:autoSpaceDE w:val="0"/>
              <w:autoSpaceDN w:val="0"/>
              <w:adjustRightInd w:val="0"/>
              <w:spacing w:before="40" w:after="4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As amended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2" w:hRule="atLeast"/>
        </w:trPr>
        <w:tc>
          <w:tcPr>
            <w:tcW w:w="179" w:type="pct"/>
            <w:tcBorders>
              <w:top w:val="single" w:color="auto" w:sz="4" w:space="0"/>
              <w:bottom w:val="single" w:color="auto" w:sz="4" w:space="0"/>
            </w:tcBorders>
            <w:shd w:val="clear" w:color="auto" w:fill="auto"/>
          </w:tcPr>
          <w:p>
            <w:pPr>
              <w:pStyle w:val="31"/>
              <w:numPr>
                <w:ilvl w:val="0"/>
                <w:numId w:val="2"/>
              </w:numPr>
              <w:autoSpaceDE w:val="0"/>
              <w:autoSpaceDN w:val="0"/>
              <w:adjustRightInd w:val="0"/>
              <w:spacing w:before="40" w:after="40" w:line="288" w:lineRule="auto"/>
              <w:ind w:left="360"/>
              <w:jc w:val="center"/>
              <w:rPr>
                <w:rFonts w:ascii="Times New Roman" w:hAnsi="Times New Roman" w:cs="Times New Roman"/>
                <w:b/>
                <w:color w:val="000000" w:themeColor="text1"/>
                <w:sz w:val="21"/>
                <w:szCs w:val="21"/>
                <w14:textFill>
                  <w14:solidFill>
                    <w14:schemeClr w14:val="tx1"/>
                  </w14:solidFill>
                </w14:textFill>
              </w:rPr>
            </w:pPr>
          </w:p>
        </w:tc>
        <w:tc>
          <w:tcPr>
            <w:tcW w:w="458" w:type="pct"/>
            <w:tcBorders>
              <w:top w:val="single" w:color="auto" w:sz="4" w:space="0"/>
              <w:bottom w:val="single" w:color="auto" w:sz="4" w:space="0"/>
            </w:tcBorders>
            <w:shd w:val="clear" w:color="auto" w:fill="auto"/>
          </w:tcPr>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SPN</w:t>
            </w:r>
          </w:p>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Para No. 5</w:t>
            </w:r>
          </w:p>
          <w:p>
            <w:pPr>
              <w:spacing w:before="40" w:after="40" w:line="276" w:lineRule="auto"/>
              <w:jc w:val="center"/>
              <w:rPr>
                <w:b/>
                <w:bCs/>
                <w:sz w:val="21"/>
                <w:szCs w:val="21"/>
              </w:rPr>
            </w:pPr>
            <w:r>
              <w:rPr>
                <w:bCs/>
                <w:color w:val="000000" w:themeColor="text1"/>
                <w:sz w:val="21"/>
                <w:szCs w:val="21"/>
                <w14:textFill>
                  <w14:solidFill>
                    <w14:schemeClr w14:val="tx1"/>
                  </w14:solidFill>
                </w14:textFill>
              </w:rPr>
              <w:t>(Pg. No. vi)</w:t>
            </w:r>
          </w:p>
        </w:tc>
        <w:tc>
          <w:tcPr>
            <w:tcW w:w="6913" w:type="dxa"/>
            <w:tcBorders>
              <w:top w:val="single" w:color="auto" w:sz="4" w:space="0"/>
              <w:bottom w:val="single" w:color="auto" w:sz="4" w:space="0"/>
            </w:tcBorders>
            <w:shd w:val="clear" w:color="auto" w:fill="auto"/>
            <w:vAlign w:val="top"/>
          </w:tcPr>
          <w:p>
            <w:pPr>
              <w:spacing w:before="40" w:after="40" w:line="276" w:lineRule="auto"/>
              <w:jc w:val="both"/>
              <w:rPr>
                <w:sz w:val="21"/>
                <w:szCs w:val="21"/>
              </w:rPr>
            </w:pPr>
            <w:r>
              <w:rPr>
                <w:sz w:val="21"/>
                <w:szCs w:val="21"/>
              </w:rPr>
              <w:t xml:space="preserve">5. The tender document in English is available for free download from </w:t>
            </w:r>
            <w:r>
              <w:rPr>
                <w:bCs/>
                <w:sz w:val="21"/>
                <w:szCs w:val="21"/>
              </w:rPr>
              <w:t xml:space="preserve">25.11.2021, 11.00 Hours (IST) in the e-procurement portal </w:t>
            </w:r>
            <w:r>
              <w:rPr>
                <w:bCs/>
                <w:sz w:val="21"/>
                <w:szCs w:val="21"/>
                <w:u w:val="single"/>
              </w:rPr>
              <w:t>www.tntenders.gov.in</w:t>
            </w:r>
            <w:r>
              <w:rPr>
                <w:bCs/>
                <w:sz w:val="21"/>
                <w:szCs w:val="21"/>
              </w:rPr>
              <w:t xml:space="preserve"> till </w:t>
            </w:r>
            <w:r>
              <w:rPr>
                <w:b/>
                <w:sz w:val="21"/>
                <w:szCs w:val="21"/>
              </w:rPr>
              <w:t>19.01.2022, 11.00 Hours (IST).</w:t>
            </w:r>
            <w:r>
              <w:rPr>
                <w:sz w:val="21"/>
                <w:szCs w:val="21"/>
              </w:rPr>
              <w:t xml:space="preserve">  All tender submission must be accompanied by a non-refundable tender fee as indicated in the Table-1below. The method of payment will be through NEFT/RTGS/Demand draft. Payment documents are to be submitted as per the procedure described in paragraph 8 below. Tenderers will be required to register in the website procurement portal. The Tenderers would be responsible for ensuring any addenda, which will be available only on the e-procurement portal, is also downloaded and incorporated with the Tender Documents.</w:t>
            </w:r>
          </w:p>
        </w:tc>
        <w:tc>
          <w:tcPr>
            <w:tcW w:w="2182" w:type="pct"/>
            <w:tcBorders>
              <w:top w:val="single" w:color="auto" w:sz="4" w:space="0"/>
              <w:bottom w:val="single" w:color="auto" w:sz="4" w:space="0"/>
            </w:tcBorders>
            <w:shd w:val="clear" w:color="auto" w:fill="auto"/>
          </w:tcPr>
          <w:p>
            <w:pPr>
              <w:spacing w:before="40" w:after="40" w:line="276" w:lineRule="auto"/>
              <w:jc w:val="both"/>
              <w:rPr>
                <w:sz w:val="21"/>
                <w:szCs w:val="21"/>
              </w:rPr>
            </w:pPr>
            <w:r>
              <w:rPr>
                <w:sz w:val="21"/>
                <w:szCs w:val="21"/>
              </w:rPr>
              <w:t xml:space="preserve">5. The tender document in English is available for free download from </w:t>
            </w:r>
            <w:r>
              <w:rPr>
                <w:bCs/>
                <w:sz w:val="21"/>
                <w:szCs w:val="21"/>
              </w:rPr>
              <w:t xml:space="preserve">25.11.2021, 11.00 Hours (IST) in the e-procurement portal </w:t>
            </w:r>
            <w:r>
              <w:rPr>
                <w:bCs/>
                <w:sz w:val="21"/>
                <w:szCs w:val="21"/>
                <w:u w:val="single"/>
              </w:rPr>
              <w:t>www.tntenders.gov.in</w:t>
            </w:r>
            <w:r>
              <w:rPr>
                <w:bCs/>
                <w:sz w:val="21"/>
                <w:szCs w:val="21"/>
              </w:rPr>
              <w:t xml:space="preserve"> till </w:t>
            </w:r>
            <w:r>
              <w:rPr>
                <w:rFonts w:hint="default"/>
                <w:b/>
                <w:bCs w:val="0"/>
                <w:sz w:val="21"/>
                <w:szCs w:val="21"/>
                <w:lang w:val="en-US"/>
              </w:rPr>
              <w:t>03</w:t>
            </w:r>
            <w:r>
              <w:rPr>
                <w:b/>
                <w:bCs w:val="0"/>
                <w:sz w:val="21"/>
                <w:szCs w:val="21"/>
              </w:rPr>
              <w:t>.0</w:t>
            </w:r>
            <w:r>
              <w:rPr>
                <w:rFonts w:hint="default"/>
                <w:b/>
                <w:bCs w:val="0"/>
                <w:sz w:val="21"/>
                <w:szCs w:val="21"/>
                <w:lang w:val="en-US"/>
              </w:rPr>
              <w:t>2</w:t>
            </w:r>
            <w:r>
              <w:rPr>
                <w:b/>
                <w:bCs w:val="0"/>
                <w:sz w:val="21"/>
                <w:szCs w:val="21"/>
              </w:rPr>
              <w:t>.2</w:t>
            </w:r>
            <w:r>
              <w:rPr>
                <w:b/>
                <w:sz w:val="21"/>
                <w:szCs w:val="21"/>
              </w:rPr>
              <w:t>022, 11.00 Hours (IST).</w:t>
            </w:r>
            <w:r>
              <w:rPr>
                <w:sz w:val="21"/>
                <w:szCs w:val="21"/>
              </w:rPr>
              <w:t xml:space="preserve">  All tender submission must be accompanied by a non-refundable tender fee as indicated in the Table-1below. The method of payment will be through NEFT/RTGS/Demand draft. Payment documents are to be submitted as per the procedure described in paragraph 8 below. Tenderers will be required to register in the website procurement portal. The Tenderers would be responsible for ensuring any addenda, which will be available only on the e-procurement portal, is also downloaded and incorporated with the Tender Documents.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1" w:hRule="atLeast"/>
        </w:trPr>
        <w:tc>
          <w:tcPr>
            <w:tcW w:w="179" w:type="pct"/>
            <w:tcBorders>
              <w:top w:val="single" w:color="auto" w:sz="4" w:space="0"/>
              <w:bottom w:val="single" w:color="auto" w:sz="4" w:space="0"/>
            </w:tcBorders>
            <w:shd w:val="clear" w:color="auto" w:fill="auto"/>
          </w:tcPr>
          <w:p>
            <w:pPr>
              <w:pStyle w:val="31"/>
              <w:numPr>
                <w:ilvl w:val="0"/>
                <w:numId w:val="2"/>
              </w:numPr>
              <w:autoSpaceDE w:val="0"/>
              <w:autoSpaceDN w:val="0"/>
              <w:adjustRightInd w:val="0"/>
              <w:spacing w:before="40" w:after="40" w:line="288" w:lineRule="auto"/>
              <w:ind w:left="360"/>
              <w:jc w:val="center"/>
              <w:rPr>
                <w:rFonts w:ascii="Times New Roman" w:hAnsi="Times New Roman" w:cs="Times New Roman"/>
                <w:b/>
                <w:color w:val="000000" w:themeColor="text1"/>
                <w:sz w:val="21"/>
                <w:szCs w:val="21"/>
                <w14:textFill>
                  <w14:solidFill>
                    <w14:schemeClr w14:val="tx1"/>
                  </w14:solidFill>
                </w14:textFill>
              </w:rPr>
            </w:pPr>
          </w:p>
        </w:tc>
        <w:tc>
          <w:tcPr>
            <w:tcW w:w="458" w:type="pct"/>
            <w:tcBorders>
              <w:top w:val="single" w:color="auto" w:sz="4" w:space="0"/>
              <w:bottom w:val="single" w:color="auto" w:sz="4" w:space="0"/>
            </w:tcBorders>
            <w:shd w:val="clear" w:color="auto" w:fill="auto"/>
          </w:tcPr>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SPN</w:t>
            </w:r>
          </w:p>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Para No. 7</w:t>
            </w:r>
          </w:p>
          <w:p>
            <w:pPr>
              <w:spacing w:before="40" w:after="40" w:line="276" w:lineRule="auto"/>
              <w:jc w:val="center"/>
              <w:rPr>
                <w:b/>
                <w:bCs/>
                <w:sz w:val="21"/>
                <w:szCs w:val="21"/>
              </w:rPr>
            </w:pPr>
            <w:r>
              <w:rPr>
                <w:bCs/>
                <w:color w:val="000000" w:themeColor="text1"/>
                <w:sz w:val="21"/>
                <w:szCs w:val="21"/>
                <w14:textFill>
                  <w14:solidFill>
                    <w14:schemeClr w14:val="tx1"/>
                  </w14:solidFill>
                </w14:textFill>
              </w:rPr>
              <w:t>(Pg. No. vii)</w:t>
            </w:r>
          </w:p>
        </w:tc>
        <w:tc>
          <w:tcPr>
            <w:tcW w:w="6913" w:type="dxa"/>
            <w:tcBorders>
              <w:top w:val="single" w:color="auto" w:sz="4" w:space="0"/>
              <w:bottom w:val="single" w:color="auto" w:sz="4" w:space="0"/>
            </w:tcBorders>
            <w:shd w:val="clear" w:color="auto" w:fill="auto"/>
            <w:vAlign w:val="top"/>
          </w:tcPr>
          <w:p>
            <w:pPr>
              <w:spacing w:line="276" w:lineRule="auto"/>
              <w:jc w:val="both"/>
              <w:rPr>
                <w:sz w:val="21"/>
                <w:szCs w:val="21"/>
              </w:rPr>
            </w:pPr>
            <w:r>
              <w:rPr>
                <w:sz w:val="21"/>
                <w:szCs w:val="21"/>
              </w:rPr>
              <w:t xml:space="preserve">7. Tender comprise two Parts, namely the Technical Part and the Financial (Price) Part, and both parts must be simultaneously submitted online in the e-procurement portal </w:t>
            </w:r>
            <w:r>
              <w:rPr>
                <w:sz w:val="21"/>
                <w:szCs w:val="21"/>
                <w:u w:val="single" w:color="000000"/>
              </w:rPr>
              <w:t xml:space="preserve">www.tntenders.gov.in </w:t>
            </w:r>
            <w:r>
              <w:rPr>
                <w:sz w:val="21"/>
                <w:szCs w:val="21"/>
              </w:rPr>
              <w:t xml:space="preserve">on or before </w:t>
            </w:r>
            <w:r>
              <w:rPr>
                <w:b/>
                <w:bCs/>
                <w:sz w:val="21"/>
                <w:szCs w:val="21"/>
              </w:rPr>
              <w:t>19.01.2022 at 11:00 Hours (IST).</w:t>
            </w:r>
            <w:r>
              <w:rPr>
                <w:sz w:val="21"/>
                <w:szCs w:val="21"/>
              </w:rPr>
              <w:t xml:space="preserve">  Tender validity shall be 120 days from the due date of submission of tenders. Any tender or modifications to tender (including discount) received outside e-procurement system will not be considered. The electronic tendering system would not allow any late submission of tenders. The “TECHNICAL PART” of the Tenders will be opened online on </w:t>
            </w:r>
            <w:r>
              <w:rPr>
                <w:b/>
                <w:bCs/>
                <w:sz w:val="21"/>
                <w:szCs w:val="21"/>
              </w:rPr>
              <w:t xml:space="preserve">19.01.2022 at 11:30 Hours (IST) </w:t>
            </w:r>
            <w:r>
              <w:rPr>
                <w:sz w:val="21"/>
                <w:szCs w:val="21"/>
              </w:rPr>
              <w:t xml:space="preserve">and this could be viewed by the Tenderers online. The “FINANCIAL PART” shall remain in encrypted form in the e-procurement system until the opening. If the office happens to be closed on the date of opening of the tenders as specified, the tenders will be opened on the next working day at the same time and venue. </w:t>
            </w:r>
          </w:p>
        </w:tc>
        <w:tc>
          <w:tcPr>
            <w:tcW w:w="2182" w:type="pct"/>
            <w:tcBorders>
              <w:top w:val="single" w:color="auto" w:sz="4" w:space="0"/>
              <w:bottom w:val="single" w:color="auto" w:sz="4" w:space="0"/>
            </w:tcBorders>
            <w:shd w:val="clear" w:color="auto" w:fill="auto"/>
          </w:tcPr>
          <w:p>
            <w:pPr>
              <w:spacing w:line="276" w:lineRule="auto"/>
              <w:jc w:val="both"/>
              <w:rPr>
                <w:b/>
                <w:bCs/>
                <w:sz w:val="21"/>
                <w:szCs w:val="21"/>
                <w:highlight w:val="yellow"/>
              </w:rPr>
            </w:pPr>
            <w:r>
              <w:rPr>
                <w:sz w:val="21"/>
                <w:szCs w:val="21"/>
              </w:rPr>
              <w:t xml:space="preserve">7. Tender comprise two Parts, namely the Technical Part and the Financial (Price) Part, and both parts must be simultaneously submitted online in the e-procurement portal </w:t>
            </w:r>
            <w:r>
              <w:rPr>
                <w:sz w:val="21"/>
                <w:szCs w:val="21"/>
                <w:u w:val="single" w:color="000000"/>
              </w:rPr>
              <w:t xml:space="preserve">www.tntenders.gov.in </w:t>
            </w:r>
            <w:r>
              <w:rPr>
                <w:sz w:val="21"/>
                <w:szCs w:val="21"/>
              </w:rPr>
              <w:t xml:space="preserve">on or before </w:t>
            </w:r>
            <w:r>
              <w:rPr>
                <w:rFonts w:hint="default"/>
                <w:b/>
                <w:bCs w:val="0"/>
                <w:sz w:val="21"/>
                <w:szCs w:val="21"/>
                <w:lang w:val="en-US"/>
              </w:rPr>
              <w:t>03</w:t>
            </w:r>
            <w:r>
              <w:rPr>
                <w:b/>
                <w:bCs w:val="0"/>
                <w:sz w:val="21"/>
                <w:szCs w:val="21"/>
              </w:rPr>
              <w:t>.0</w:t>
            </w:r>
            <w:r>
              <w:rPr>
                <w:rFonts w:hint="default"/>
                <w:b/>
                <w:bCs w:val="0"/>
                <w:sz w:val="21"/>
                <w:szCs w:val="21"/>
                <w:lang w:val="en-US"/>
              </w:rPr>
              <w:t>2</w:t>
            </w:r>
            <w:r>
              <w:rPr>
                <w:b/>
                <w:bCs w:val="0"/>
                <w:sz w:val="21"/>
                <w:szCs w:val="21"/>
              </w:rPr>
              <w:t>.2</w:t>
            </w:r>
            <w:r>
              <w:rPr>
                <w:b/>
                <w:sz w:val="21"/>
                <w:szCs w:val="21"/>
              </w:rPr>
              <w:t>022</w:t>
            </w:r>
            <w:r>
              <w:rPr>
                <w:b/>
                <w:bCs/>
                <w:sz w:val="21"/>
                <w:szCs w:val="21"/>
              </w:rPr>
              <w:t xml:space="preserve"> at 11:00 Hours (IST).</w:t>
            </w:r>
            <w:r>
              <w:rPr>
                <w:sz w:val="21"/>
                <w:szCs w:val="21"/>
              </w:rPr>
              <w:t xml:space="preserve">  Tender validity shall be 120 days from the due date of submission of tenders. Any tender or modifications to tender (including discount) received outside e-procurement system will not be considered. The electronic tendering system would not allow any late submission of tenders. The “TECHNICAL PART” of the Tenders will be opened online on </w:t>
            </w:r>
            <w:r>
              <w:rPr>
                <w:rFonts w:hint="default"/>
                <w:b/>
                <w:bCs w:val="0"/>
                <w:sz w:val="21"/>
                <w:szCs w:val="21"/>
                <w:lang w:val="en-US"/>
              </w:rPr>
              <w:t>03</w:t>
            </w:r>
            <w:r>
              <w:rPr>
                <w:b/>
                <w:bCs w:val="0"/>
                <w:sz w:val="21"/>
                <w:szCs w:val="21"/>
              </w:rPr>
              <w:t>.0</w:t>
            </w:r>
            <w:r>
              <w:rPr>
                <w:rFonts w:hint="default"/>
                <w:b/>
                <w:bCs w:val="0"/>
                <w:sz w:val="21"/>
                <w:szCs w:val="21"/>
                <w:lang w:val="en-US"/>
              </w:rPr>
              <w:t>2</w:t>
            </w:r>
            <w:r>
              <w:rPr>
                <w:b/>
                <w:bCs w:val="0"/>
                <w:sz w:val="21"/>
                <w:szCs w:val="21"/>
              </w:rPr>
              <w:t>.2</w:t>
            </w:r>
            <w:r>
              <w:rPr>
                <w:b/>
                <w:sz w:val="21"/>
                <w:szCs w:val="21"/>
              </w:rPr>
              <w:t>022</w:t>
            </w:r>
            <w:r>
              <w:rPr>
                <w:b/>
                <w:bCs/>
                <w:sz w:val="21"/>
                <w:szCs w:val="21"/>
              </w:rPr>
              <w:t xml:space="preserve"> at 11:30 Hours (IST) </w:t>
            </w:r>
            <w:r>
              <w:rPr>
                <w:sz w:val="21"/>
                <w:szCs w:val="21"/>
              </w:rPr>
              <w:t xml:space="preserve">and this could be viewed by the Tenderers online. The “FINANCIAL PART” shall remain in encrypted form in the e-procurement system until the opening. If the office happens to be closed on the date of opening of the tenders as specified, the tenders will be opened on the next working day at the same time and venue.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8" w:hRule="atLeast"/>
        </w:trPr>
        <w:tc>
          <w:tcPr>
            <w:tcW w:w="179" w:type="pct"/>
            <w:tcBorders>
              <w:top w:val="single" w:color="auto" w:sz="4" w:space="0"/>
              <w:bottom w:val="single" w:color="auto" w:sz="4" w:space="0"/>
            </w:tcBorders>
            <w:shd w:val="clear" w:color="auto" w:fill="auto"/>
          </w:tcPr>
          <w:p>
            <w:pPr>
              <w:pStyle w:val="31"/>
              <w:numPr>
                <w:ilvl w:val="0"/>
                <w:numId w:val="2"/>
              </w:numPr>
              <w:autoSpaceDE w:val="0"/>
              <w:autoSpaceDN w:val="0"/>
              <w:adjustRightInd w:val="0"/>
              <w:spacing w:before="40" w:after="40" w:line="288" w:lineRule="auto"/>
              <w:ind w:left="360"/>
              <w:jc w:val="center"/>
              <w:rPr>
                <w:rFonts w:ascii="Times New Roman" w:hAnsi="Times New Roman" w:cs="Times New Roman"/>
                <w:b/>
                <w:color w:val="000000" w:themeColor="text1"/>
                <w:sz w:val="21"/>
                <w:szCs w:val="21"/>
                <w14:textFill>
                  <w14:solidFill>
                    <w14:schemeClr w14:val="tx1"/>
                  </w14:solidFill>
                </w14:textFill>
              </w:rPr>
            </w:pPr>
          </w:p>
        </w:tc>
        <w:tc>
          <w:tcPr>
            <w:tcW w:w="458" w:type="pct"/>
            <w:tcBorders>
              <w:top w:val="single" w:color="auto" w:sz="4" w:space="0"/>
              <w:bottom w:val="single" w:color="auto" w:sz="4" w:space="0"/>
            </w:tcBorders>
            <w:shd w:val="clear" w:color="auto" w:fill="auto"/>
          </w:tcPr>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Part 1</w:t>
            </w:r>
          </w:p>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Section 2 – TDS</w:t>
            </w:r>
          </w:p>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Cl. 21.1</w:t>
            </w:r>
          </w:p>
          <w:p>
            <w:pPr>
              <w:spacing w:before="40" w:after="40" w:line="276" w:lineRule="auto"/>
              <w:rPr>
                <w:b/>
                <w:bCs/>
                <w:sz w:val="21"/>
                <w:szCs w:val="21"/>
              </w:rPr>
            </w:pPr>
            <w:r>
              <w:rPr>
                <w:bCs/>
                <w:color w:val="000000" w:themeColor="text1"/>
                <w:sz w:val="21"/>
                <w:szCs w:val="21"/>
                <w14:textFill>
                  <w14:solidFill>
                    <w14:schemeClr w14:val="tx1"/>
                  </w14:solidFill>
                </w14:textFill>
              </w:rPr>
              <w:t>(Pg. No. 47)</w:t>
            </w:r>
          </w:p>
        </w:tc>
        <w:tc>
          <w:tcPr>
            <w:tcW w:w="6913" w:type="dxa"/>
            <w:tcBorders>
              <w:top w:val="single" w:color="auto" w:sz="4" w:space="0"/>
              <w:bottom w:val="single" w:color="auto" w:sz="4" w:space="0"/>
            </w:tcBorders>
            <w:shd w:val="clear" w:color="auto" w:fill="auto"/>
            <w:vAlign w:val="top"/>
          </w:tcPr>
          <w:p>
            <w:pPr>
              <w:suppressAutoHyphens/>
              <w:spacing w:before="40" w:after="40" w:line="300" w:lineRule="auto"/>
              <w:jc w:val="both"/>
              <w:rPr>
                <w:rStyle w:val="20"/>
                <w:color w:val="auto"/>
                <w:sz w:val="21"/>
                <w:szCs w:val="21"/>
              </w:rPr>
            </w:pPr>
            <w:r>
              <w:rPr>
                <w:sz w:val="21"/>
                <w:szCs w:val="21"/>
              </w:rPr>
              <w:t xml:space="preserve">Tenderers shall submit their Tenders through the e-procurement portal </w:t>
            </w:r>
            <w:r>
              <w:fldChar w:fldCharType="begin"/>
            </w:r>
            <w:r>
              <w:instrText xml:space="preserve"> HYPERLINK "http://www.tntenders.gov.in" </w:instrText>
            </w:r>
            <w:r>
              <w:fldChar w:fldCharType="separate"/>
            </w:r>
            <w:r>
              <w:rPr>
                <w:rStyle w:val="20"/>
                <w:color w:val="auto"/>
                <w:sz w:val="21"/>
                <w:szCs w:val="21"/>
              </w:rPr>
              <w:t>www.tntenders.gov.in</w:t>
            </w:r>
            <w:r>
              <w:rPr>
                <w:rStyle w:val="20"/>
                <w:color w:val="auto"/>
                <w:sz w:val="21"/>
                <w:szCs w:val="21"/>
              </w:rPr>
              <w:fldChar w:fldCharType="end"/>
            </w:r>
          </w:p>
          <w:p>
            <w:pPr>
              <w:tabs>
                <w:tab w:val="right" w:pos="4860"/>
              </w:tabs>
              <w:spacing w:before="40" w:after="40" w:line="300" w:lineRule="auto"/>
              <w:jc w:val="both"/>
              <w:rPr>
                <w:sz w:val="21"/>
                <w:szCs w:val="21"/>
              </w:rPr>
            </w:pPr>
            <w:r>
              <w:rPr>
                <w:sz w:val="21"/>
                <w:szCs w:val="21"/>
              </w:rPr>
              <w:t>The electronic Tendering submission procedures shall be as follows:</w:t>
            </w:r>
          </w:p>
          <w:p>
            <w:pPr>
              <w:tabs>
                <w:tab w:val="right" w:pos="7254"/>
              </w:tabs>
              <w:spacing w:before="40" w:after="40" w:line="300" w:lineRule="auto"/>
              <w:jc w:val="both"/>
              <w:rPr>
                <w:sz w:val="21"/>
                <w:szCs w:val="21"/>
              </w:rPr>
            </w:pPr>
            <w:r>
              <w:rPr>
                <w:sz w:val="21"/>
                <w:szCs w:val="21"/>
              </w:rPr>
              <w:t>i) Important reminders to the Tenderers:</w:t>
            </w:r>
          </w:p>
          <w:p>
            <w:pPr>
              <w:numPr>
                <w:ilvl w:val="0"/>
                <w:numId w:val="3"/>
              </w:numPr>
              <w:spacing w:before="40" w:after="40" w:line="300" w:lineRule="auto"/>
              <w:jc w:val="both"/>
              <w:rPr>
                <w:sz w:val="21"/>
                <w:szCs w:val="21"/>
                <w:lang w:val="en-IN"/>
              </w:rPr>
            </w:pPr>
            <w:r>
              <w:rPr>
                <w:sz w:val="21"/>
                <w:szCs w:val="21"/>
                <w:lang w:val="en-IN"/>
              </w:rPr>
              <w:t>Tenderers should login to the website using their User ID and password</w:t>
            </w:r>
          </w:p>
          <w:p>
            <w:pPr>
              <w:numPr>
                <w:ilvl w:val="0"/>
                <w:numId w:val="3"/>
              </w:numPr>
              <w:spacing w:before="40" w:after="40" w:line="300" w:lineRule="auto"/>
              <w:ind w:left="714" w:hanging="357"/>
              <w:jc w:val="both"/>
              <w:rPr>
                <w:sz w:val="21"/>
                <w:szCs w:val="21"/>
                <w:lang w:val="en-IN"/>
              </w:rPr>
            </w:pPr>
            <w:r>
              <w:rPr>
                <w:sz w:val="21"/>
                <w:szCs w:val="21"/>
                <w:lang w:val="en-IN"/>
              </w:rPr>
              <w:t>The Tenderers must submit tenders online following the instruction appearing on the screen. Detailed guidelines for e-procurement are also available on the e-procurement portal.</w:t>
            </w:r>
          </w:p>
          <w:p>
            <w:pPr>
              <w:numPr>
                <w:ilvl w:val="0"/>
                <w:numId w:val="3"/>
              </w:numPr>
              <w:spacing w:before="40" w:after="40" w:line="300" w:lineRule="auto"/>
              <w:ind w:left="714" w:hanging="357"/>
              <w:jc w:val="both"/>
              <w:rPr>
                <w:sz w:val="21"/>
                <w:szCs w:val="21"/>
                <w:lang w:val="en-IN"/>
              </w:rPr>
            </w:pPr>
            <w:r>
              <w:rPr>
                <w:sz w:val="21"/>
                <w:szCs w:val="21"/>
                <w:lang w:val="en-IN"/>
              </w:rPr>
              <w:t>The tenders will need to be prepared in the forms provided in the Tendering Document and scanned in different files in PDF or JPEG format such that file size is not more than 10 MB and uploaded into the relevant online folders.</w:t>
            </w:r>
          </w:p>
          <w:p>
            <w:pPr>
              <w:numPr>
                <w:ilvl w:val="0"/>
                <w:numId w:val="3"/>
              </w:numPr>
              <w:spacing w:before="40" w:after="40" w:line="300" w:lineRule="auto"/>
              <w:ind w:left="714" w:hanging="357"/>
              <w:jc w:val="both"/>
              <w:rPr>
                <w:sz w:val="21"/>
                <w:szCs w:val="21"/>
                <w:lang w:val="en-IN"/>
              </w:rPr>
            </w:pPr>
            <w:r>
              <w:rPr>
                <w:sz w:val="21"/>
                <w:szCs w:val="21"/>
                <w:lang w:val="en-IN"/>
              </w:rPr>
              <w:t xml:space="preserve">The Tenderers are advised to download the excel sheets from the portal and fill their rates in excel sheet. Tenderer shall not modify the BOQ form in excel, like Item Description, quantity, etc. and should not rename the excel sheet. Tenderer can download excel sheet on their computer and fill it and then upload it or can directly fill online the price tender. </w:t>
            </w:r>
          </w:p>
          <w:p>
            <w:pPr>
              <w:numPr>
                <w:ilvl w:val="0"/>
                <w:numId w:val="3"/>
              </w:numPr>
              <w:spacing w:before="40" w:after="40" w:line="300" w:lineRule="auto"/>
              <w:ind w:left="714" w:hanging="357"/>
              <w:jc w:val="both"/>
              <w:rPr>
                <w:sz w:val="21"/>
                <w:szCs w:val="21"/>
                <w:lang w:val="en-IN"/>
              </w:rPr>
            </w:pPr>
            <w:r>
              <w:rPr>
                <w:sz w:val="21"/>
                <w:szCs w:val="21"/>
                <w:lang w:val="en-IN"/>
              </w:rPr>
              <w:t>The downloaded Tender forms shall be typed or written in indelible ink and shall be signed by a person duly authorized to sign on behalf of the Tenderer</w:t>
            </w:r>
          </w:p>
          <w:p>
            <w:pPr>
              <w:numPr>
                <w:ilvl w:val="0"/>
                <w:numId w:val="3"/>
              </w:numPr>
              <w:spacing w:before="40" w:after="40" w:line="300" w:lineRule="auto"/>
              <w:ind w:left="714" w:hanging="357"/>
              <w:jc w:val="both"/>
              <w:rPr>
                <w:sz w:val="21"/>
                <w:szCs w:val="21"/>
                <w:lang w:val="en-IN"/>
              </w:rPr>
            </w:pPr>
            <w:r>
              <w:rPr>
                <w:sz w:val="21"/>
                <w:szCs w:val="21"/>
                <w:lang w:val="en-IN"/>
              </w:rPr>
              <w:t>Tenderers shall take due precaution to upload and Freeze the Technical Tender documents and Price Tender documents onto the separate envelopes defined in (as separate attachments in the relevant folders) the e-procurement website, on or before the deadline for Tender submission specified in ITT 22.1 of the TDS. (The e- procurement portal will not allow submission of tenders after the due time of submission even if the user has logged in before the due time.)</w:t>
            </w:r>
          </w:p>
          <w:p>
            <w:pPr>
              <w:numPr>
                <w:ilvl w:val="0"/>
                <w:numId w:val="3"/>
              </w:numPr>
              <w:spacing w:before="40" w:after="40" w:line="300" w:lineRule="auto"/>
              <w:ind w:left="714" w:hanging="357"/>
              <w:jc w:val="both"/>
              <w:rPr>
                <w:sz w:val="21"/>
                <w:szCs w:val="21"/>
                <w:lang w:val="en-IN"/>
              </w:rPr>
            </w:pPr>
            <w:r>
              <w:rPr>
                <w:sz w:val="21"/>
                <w:szCs w:val="21"/>
                <w:lang w:val="en-IN"/>
              </w:rPr>
              <w:t>Tenderers shall upload their tenders in formats, which can be opened and read by open standard interfaces.</w:t>
            </w:r>
          </w:p>
          <w:p>
            <w:pPr>
              <w:numPr>
                <w:ilvl w:val="0"/>
                <w:numId w:val="3"/>
              </w:numPr>
              <w:spacing w:before="40" w:after="40" w:line="300" w:lineRule="auto"/>
              <w:ind w:left="714" w:hanging="357"/>
              <w:jc w:val="both"/>
              <w:rPr>
                <w:sz w:val="21"/>
                <w:szCs w:val="21"/>
                <w:lang w:val="en-IN"/>
              </w:rPr>
            </w:pPr>
            <w:r>
              <w:rPr>
                <w:sz w:val="21"/>
                <w:szCs w:val="21"/>
                <w:lang w:val="en-IN"/>
              </w:rPr>
              <w:t>Tenderers shall not lock electronic files uploaded in their proposal with passwords of their choice. The Employer reserves the right to reject the password protected/ locked files outright.</w:t>
            </w:r>
          </w:p>
          <w:p>
            <w:pPr>
              <w:tabs>
                <w:tab w:val="right" w:pos="7254"/>
              </w:tabs>
              <w:spacing w:before="40" w:after="40" w:line="300" w:lineRule="auto"/>
              <w:jc w:val="both"/>
              <w:rPr>
                <w:sz w:val="21"/>
                <w:szCs w:val="21"/>
              </w:rPr>
            </w:pPr>
          </w:p>
          <w:p>
            <w:pPr>
              <w:tabs>
                <w:tab w:val="right" w:pos="7254"/>
              </w:tabs>
              <w:spacing w:before="40" w:after="40" w:line="300" w:lineRule="auto"/>
              <w:jc w:val="both"/>
              <w:rPr>
                <w:sz w:val="21"/>
                <w:szCs w:val="21"/>
                <w:lang w:val="en-IN"/>
              </w:rPr>
            </w:pPr>
            <w:r>
              <w:rPr>
                <w:sz w:val="21"/>
                <w:szCs w:val="21"/>
              </w:rPr>
              <w:t>(</w:t>
            </w:r>
            <w:r>
              <w:rPr>
                <w:sz w:val="21"/>
                <w:szCs w:val="21"/>
                <w:lang w:val="en-IN"/>
              </w:rPr>
              <w:t>ii) Submission of Technical Tenders online:</w:t>
            </w:r>
          </w:p>
          <w:p>
            <w:pPr>
              <w:tabs>
                <w:tab w:val="right" w:pos="7254"/>
              </w:tabs>
              <w:spacing w:before="40" w:after="40" w:line="300" w:lineRule="auto"/>
              <w:jc w:val="both"/>
              <w:rPr>
                <w:sz w:val="21"/>
                <w:szCs w:val="21"/>
                <w:lang w:val="en-IN"/>
              </w:rPr>
            </w:pPr>
            <w:r>
              <w:rPr>
                <w:sz w:val="21"/>
                <w:szCs w:val="21"/>
                <w:lang w:val="en-IN"/>
              </w:rPr>
              <w:t xml:space="preserve">The Technical tender in accordance with the requirements of ITT 11.2, shall be uploaded in the relevant envelope (as attachment) in the </w:t>
            </w:r>
            <w:r>
              <w:rPr>
                <w:sz w:val="21"/>
                <w:szCs w:val="21"/>
              </w:rPr>
              <w:t xml:space="preserve">e-procurement portal </w:t>
            </w:r>
            <w:r>
              <w:rPr>
                <w:sz w:val="21"/>
                <w:szCs w:val="21"/>
                <w:lang w:val="en-IN"/>
              </w:rPr>
              <w:t xml:space="preserve">indicated in ITT 21.1 of the TDS. </w:t>
            </w:r>
          </w:p>
          <w:p>
            <w:pPr>
              <w:tabs>
                <w:tab w:val="right" w:pos="7254"/>
              </w:tabs>
              <w:spacing w:before="40" w:after="40" w:line="300" w:lineRule="auto"/>
              <w:jc w:val="both"/>
              <w:rPr>
                <w:sz w:val="21"/>
                <w:szCs w:val="21"/>
                <w:lang w:val="en-IN"/>
              </w:rPr>
            </w:pPr>
          </w:p>
          <w:p>
            <w:pPr>
              <w:tabs>
                <w:tab w:val="right" w:pos="7254"/>
              </w:tabs>
              <w:spacing w:before="40" w:after="40" w:line="300" w:lineRule="auto"/>
              <w:jc w:val="both"/>
              <w:rPr>
                <w:sz w:val="21"/>
                <w:szCs w:val="21"/>
                <w:lang w:val="en-IN"/>
              </w:rPr>
            </w:pPr>
            <w:r>
              <w:rPr>
                <w:sz w:val="21"/>
                <w:szCs w:val="21"/>
                <w:lang w:val="en-IN"/>
              </w:rPr>
              <w:t>(iii) Physical Submission of Supporting Documents: (Technical and Price Tenders shall be submitted through online only) Following instrument and list of supporting documents required to be submitted physically:</w:t>
            </w:r>
          </w:p>
          <w:p>
            <w:pPr>
              <w:numPr>
                <w:ilvl w:val="0"/>
                <w:numId w:val="4"/>
              </w:numPr>
              <w:spacing w:before="40" w:after="40" w:line="300" w:lineRule="auto"/>
              <w:jc w:val="both"/>
              <w:rPr>
                <w:sz w:val="21"/>
                <w:szCs w:val="21"/>
                <w:lang w:val="en-IN"/>
              </w:rPr>
            </w:pPr>
            <w:r>
              <w:rPr>
                <w:sz w:val="21"/>
                <w:szCs w:val="21"/>
                <w:lang w:val="en-IN"/>
              </w:rPr>
              <w:t xml:space="preserve">Original Tender Fee and Tender Security   in accordance with ITT 19 or Proof of payment of Tender Fee if made through </w:t>
            </w:r>
            <w:r>
              <w:rPr>
                <w:sz w:val="21"/>
                <w:szCs w:val="21"/>
              </w:rPr>
              <w:t>online mode.</w:t>
            </w:r>
          </w:p>
          <w:p>
            <w:pPr>
              <w:numPr>
                <w:ilvl w:val="0"/>
                <w:numId w:val="4"/>
              </w:numPr>
              <w:spacing w:before="40" w:after="40" w:line="300" w:lineRule="auto"/>
              <w:ind w:left="714" w:hanging="357"/>
              <w:jc w:val="both"/>
              <w:rPr>
                <w:sz w:val="21"/>
                <w:szCs w:val="21"/>
                <w:lang w:val="en-IN"/>
              </w:rPr>
            </w:pPr>
            <w:r>
              <w:rPr>
                <w:sz w:val="21"/>
                <w:szCs w:val="21"/>
                <w:lang w:val="en-IN"/>
              </w:rPr>
              <w:t>Power of Attorney for signing the Application as per the standard industry practice if applicable, Power of Attorney for Lead Member of Joint Venture as per the industry practice.</w:t>
            </w:r>
          </w:p>
          <w:p>
            <w:pPr>
              <w:spacing w:before="40" w:after="40" w:line="300" w:lineRule="auto"/>
              <w:jc w:val="both"/>
              <w:rPr>
                <w:sz w:val="21"/>
                <w:szCs w:val="21"/>
                <w:lang w:val="en-IN"/>
              </w:rPr>
            </w:pPr>
          </w:p>
          <w:p>
            <w:pPr>
              <w:spacing w:before="40" w:after="40" w:line="300" w:lineRule="auto"/>
              <w:jc w:val="both"/>
              <w:rPr>
                <w:sz w:val="21"/>
                <w:szCs w:val="21"/>
                <w:lang w:val="en-IN"/>
              </w:rPr>
            </w:pPr>
            <w:r>
              <w:rPr>
                <w:sz w:val="21"/>
                <w:szCs w:val="21"/>
                <w:lang w:val="en-IN"/>
              </w:rPr>
              <w:t>The above documents shall be delivered by the Tenderer to the Employer by the due date and time given below in the Employer’s address as given below:</w:t>
            </w:r>
          </w:p>
          <w:p>
            <w:pPr>
              <w:pStyle w:val="16"/>
              <w:spacing w:before="40" w:after="40" w:line="300" w:lineRule="auto"/>
              <w:jc w:val="both"/>
              <w:rPr>
                <w:i/>
                <w:sz w:val="21"/>
                <w:szCs w:val="21"/>
              </w:rPr>
            </w:pPr>
            <w:r>
              <w:rPr>
                <w:sz w:val="21"/>
                <w:szCs w:val="21"/>
              </w:rPr>
              <w:t>Attention: Executive Director, (TNRIDC)</w:t>
            </w:r>
          </w:p>
          <w:p>
            <w:pPr>
              <w:spacing w:before="40" w:after="40" w:line="300" w:lineRule="auto"/>
              <w:ind w:left="645" w:hanging="645"/>
              <w:jc w:val="both"/>
              <w:rPr>
                <w:sz w:val="21"/>
                <w:szCs w:val="21"/>
              </w:rPr>
            </w:pPr>
            <w:r>
              <w:rPr>
                <w:sz w:val="21"/>
                <w:szCs w:val="21"/>
              </w:rPr>
              <w:t xml:space="preserve">Street Address: </w:t>
            </w:r>
            <w:r>
              <w:rPr>
                <w:iCs/>
                <w:sz w:val="21"/>
                <w:szCs w:val="21"/>
              </w:rPr>
              <w:t xml:space="preserve">No. 735, </w:t>
            </w:r>
            <w:r>
              <w:rPr>
                <w:sz w:val="21"/>
                <w:szCs w:val="21"/>
              </w:rPr>
              <w:t>Anna Salai</w:t>
            </w:r>
          </w:p>
          <w:p>
            <w:pPr>
              <w:spacing w:before="40" w:after="40" w:line="300" w:lineRule="auto"/>
              <w:ind w:left="705" w:hanging="705"/>
              <w:jc w:val="both"/>
              <w:rPr>
                <w:sz w:val="21"/>
                <w:szCs w:val="21"/>
              </w:rPr>
            </w:pPr>
            <w:r>
              <w:rPr>
                <w:sz w:val="21"/>
                <w:szCs w:val="21"/>
              </w:rPr>
              <w:t>Floor/ Room number: 4</w:t>
            </w:r>
            <w:r>
              <w:rPr>
                <w:sz w:val="21"/>
                <w:szCs w:val="21"/>
                <w:vertAlign w:val="superscript"/>
              </w:rPr>
              <w:t>th</w:t>
            </w:r>
            <w:r>
              <w:rPr>
                <w:sz w:val="21"/>
                <w:szCs w:val="21"/>
              </w:rPr>
              <w:t xml:space="preserve"> Floor</w:t>
            </w:r>
            <w:r>
              <w:rPr>
                <w:sz w:val="21"/>
                <w:szCs w:val="21"/>
              </w:rPr>
              <w:tab/>
            </w:r>
          </w:p>
          <w:p>
            <w:pPr>
              <w:spacing w:before="40" w:after="40" w:line="300" w:lineRule="auto"/>
              <w:jc w:val="both"/>
              <w:rPr>
                <w:sz w:val="21"/>
                <w:szCs w:val="21"/>
              </w:rPr>
            </w:pPr>
            <w:r>
              <w:rPr>
                <w:sz w:val="21"/>
                <w:szCs w:val="21"/>
              </w:rPr>
              <w:t>City: Chennai</w:t>
            </w:r>
          </w:p>
          <w:p>
            <w:pPr>
              <w:spacing w:before="40" w:after="40" w:line="300" w:lineRule="auto"/>
              <w:jc w:val="both"/>
              <w:rPr>
                <w:sz w:val="21"/>
                <w:szCs w:val="21"/>
              </w:rPr>
            </w:pPr>
            <w:r>
              <w:rPr>
                <w:sz w:val="21"/>
                <w:szCs w:val="21"/>
              </w:rPr>
              <w:t>ZIP/Postal Code: 600002; Country: India</w:t>
            </w:r>
            <w:r>
              <w:rPr>
                <w:sz w:val="21"/>
                <w:szCs w:val="21"/>
              </w:rPr>
              <w:tab/>
            </w:r>
          </w:p>
          <w:p>
            <w:pPr>
              <w:spacing w:before="40" w:after="40" w:line="300" w:lineRule="auto"/>
              <w:jc w:val="both"/>
              <w:rPr>
                <w:b/>
                <w:bCs/>
                <w:sz w:val="21"/>
                <w:szCs w:val="21"/>
                <w:lang w:val="en-IN"/>
              </w:rPr>
            </w:pPr>
            <w:r>
              <w:rPr>
                <w:b/>
                <w:bCs/>
                <w:sz w:val="21"/>
                <w:szCs w:val="21"/>
              </w:rPr>
              <w:t>Date</w:t>
            </w:r>
            <w:r>
              <w:rPr>
                <w:b/>
                <w:bCs/>
                <w:sz w:val="21"/>
                <w:szCs w:val="21"/>
                <w:lang w:val="en-IN"/>
              </w:rPr>
              <w:t>:  19.01.2022 &amp; Time: 11.00 Hrs (IST).</w:t>
            </w:r>
          </w:p>
          <w:p>
            <w:pPr>
              <w:spacing w:before="40" w:after="40" w:line="300" w:lineRule="auto"/>
              <w:jc w:val="both"/>
              <w:rPr>
                <w:sz w:val="21"/>
                <w:szCs w:val="21"/>
                <w:lang w:val="en-IN"/>
              </w:rPr>
            </w:pPr>
            <w:r>
              <w:rPr>
                <w:sz w:val="21"/>
                <w:szCs w:val="21"/>
                <w:lang w:val="en-IN"/>
              </w:rPr>
              <w:t xml:space="preserve">After electronic online submission of tenders, the system will generate a unique tender identification number which is time stamped as per server time. This shall be treated as acknowledgement of tender submission and tenders will quote this reference number of the envelop for identification purposes. </w:t>
            </w:r>
          </w:p>
          <w:p>
            <w:pPr>
              <w:spacing w:before="40" w:after="40" w:line="300" w:lineRule="auto"/>
              <w:jc w:val="both"/>
              <w:rPr>
                <w:sz w:val="21"/>
                <w:szCs w:val="21"/>
                <w:lang w:val="en-IN"/>
              </w:rPr>
            </w:pPr>
            <w:r>
              <w:rPr>
                <w:sz w:val="21"/>
                <w:szCs w:val="21"/>
                <w:lang w:val="en-IN"/>
              </w:rPr>
              <w:t>In case of non-receipt of these original documents within the deadline mentioned in 22.1 below, the tender will be declared non-responsive.</w:t>
            </w:r>
          </w:p>
          <w:p>
            <w:pPr>
              <w:spacing w:before="40" w:after="40" w:line="300" w:lineRule="auto"/>
              <w:jc w:val="both"/>
              <w:rPr>
                <w:sz w:val="21"/>
                <w:szCs w:val="21"/>
                <w:lang w:val="en-IN"/>
              </w:rPr>
            </w:pPr>
          </w:p>
          <w:p>
            <w:pPr>
              <w:spacing w:before="40" w:after="40" w:line="300" w:lineRule="auto"/>
              <w:jc w:val="both"/>
              <w:rPr>
                <w:sz w:val="21"/>
                <w:szCs w:val="21"/>
                <w:lang w:val="en-IN"/>
              </w:rPr>
            </w:pPr>
            <w:r>
              <w:rPr>
                <w:sz w:val="21"/>
                <w:szCs w:val="21"/>
                <w:lang w:val="en-IN"/>
              </w:rPr>
              <w:t xml:space="preserve">(iv) Submission of price tenders online: Digitally signed price tender, in accordance with ITT 11.3, shall be uploaded in the relevant envelope as attachment in the </w:t>
            </w:r>
            <w:r>
              <w:rPr>
                <w:sz w:val="21"/>
                <w:szCs w:val="21"/>
              </w:rPr>
              <w:t xml:space="preserve">e-procurement portal </w:t>
            </w:r>
            <w:r>
              <w:rPr>
                <w:sz w:val="21"/>
                <w:szCs w:val="21"/>
                <w:lang w:val="en-IN"/>
              </w:rPr>
              <w:t>indicated in ITT 1.2(a) of the TDS.</w:t>
            </w:r>
          </w:p>
          <w:p>
            <w:pPr>
              <w:spacing w:before="40" w:after="40" w:line="300" w:lineRule="auto"/>
              <w:jc w:val="both"/>
              <w:rPr>
                <w:sz w:val="21"/>
                <w:szCs w:val="21"/>
              </w:rPr>
            </w:pPr>
          </w:p>
        </w:tc>
        <w:tc>
          <w:tcPr>
            <w:tcW w:w="2182" w:type="pct"/>
            <w:tcBorders>
              <w:top w:val="single" w:color="auto" w:sz="4" w:space="0"/>
              <w:bottom w:val="single" w:color="auto" w:sz="4" w:space="0"/>
            </w:tcBorders>
            <w:shd w:val="clear" w:color="auto" w:fill="auto"/>
          </w:tcPr>
          <w:p>
            <w:pPr>
              <w:suppressAutoHyphens/>
              <w:spacing w:before="40" w:after="40" w:line="300" w:lineRule="auto"/>
              <w:jc w:val="both"/>
              <w:rPr>
                <w:rStyle w:val="20"/>
                <w:color w:val="auto"/>
                <w:sz w:val="21"/>
                <w:szCs w:val="21"/>
              </w:rPr>
            </w:pPr>
            <w:r>
              <w:rPr>
                <w:sz w:val="21"/>
                <w:szCs w:val="21"/>
              </w:rPr>
              <w:t xml:space="preserve">Tenderers shall submit their Tenders through the e-procurement portal </w:t>
            </w:r>
            <w:r>
              <w:fldChar w:fldCharType="begin"/>
            </w:r>
            <w:r>
              <w:instrText xml:space="preserve"> HYPERLINK "http://www.tntenders.gov.in" </w:instrText>
            </w:r>
            <w:r>
              <w:fldChar w:fldCharType="separate"/>
            </w:r>
            <w:r>
              <w:rPr>
                <w:rStyle w:val="20"/>
                <w:color w:val="auto"/>
                <w:sz w:val="21"/>
                <w:szCs w:val="21"/>
              </w:rPr>
              <w:t>www.tntenders.gov.in</w:t>
            </w:r>
            <w:r>
              <w:rPr>
                <w:rStyle w:val="20"/>
                <w:color w:val="auto"/>
                <w:sz w:val="21"/>
                <w:szCs w:val="21"/>
              </w:rPr>
              <w:fldChar w:fldCharType="end"/>
            </w:r>
          </w:p>
          <w:p>
            <w:pPr>
              <w:tabs>
                <w:tab w:val="right" w:pos="4860"/>
              </w:tabs>
              <w:spacing w:before="40" w:after="40" w:line="300" w:lineRule="auto"/>
              <w:jc w:val="both"/>
              <w:rPr>
                <w:sz w:val="21"/>
                <w:szCs w:val="21"/>
              </w:rPr>
            </w:pPr>
            <w:r>
              <w:rPr>
                <w:sz w:val="21"/>
                <w:szCs w:val="21"/>
              </w:rPr>
              <w:t>The electronic Tendering submission procedures shall be as follows:</w:t>
            </w:r>
          </w:p>
          <w:p>
            <w:pPr>
              <w:tabs>
                <w:tab w:val="right" w:pos="7254"/>
              </w:tabs>
              <w:spacing w:before="40" w:after="40" w:line="300" w:lineRule="auto"/>
              <w:jc w:val="both"/>
              <w:rPr>
                <w:sz w:val="21"/>
                <w:szCs w:val="21"/>
              </w:rPr>
            </w:pPr>
            <w:r>
              <w:rPr>
                <w:sz w:val="21"/>
                <w:szCs w:val="21"/>
              </w:rPr>
              <w:t>i) Important reminders to the Tenderers:</w:t>
            </w:r>
          </w:p>
          <w:p>
            <w:pPr>
              <w:numPr>
                <w:ilvl w:val="0"/>
                <w:numId w:val="5"/>
              </w:numPr>
              <w:spacing w:before="40" w:after="40" w:line="300" w:lineRule="auto"/>
              <w:ind w:left="720" w:leftChars="0" w:hanging="360" w:firstLineChars="0"/>
              <w:jc w:val="both"/>
              <w:rPr>
                <w:sz w:val="21"/>
                <w:szCs w:val="21"/>
                <w:lang w:val="en-IN"/>
              </w:rPr>
            </w:pPr>
            <w:r>
              <w:rPr>
                <w:sz w:val="21"/>
                <w:szCs w:val="21"/>
                <w:lang w:val="en-IN"/>
              </w:rPr>
              <w:t>Tenderers should login to the website using their User ID and password</w:t>
            </w:r>
            <w:bookmarkStart w:id="3" w:name="_GoBack"/>
            <w:bookmarkEnd w:id="3"/>
          </w:p>
          <w:p>
            <w:pPr>
              <w:numPr>
                <w:ilvl w:val="0"/>
                <w:numId w:val="5"/>
              </w:numPr>
              <w:spacing w:before="40" w:after="40" w:line="300" w:lineRule="auto"/>
              <w:ind w:left="720" w:leftChars="0" w:hanging="360" w:firstLineChars="0"/>
              <w:jc w:val="both"/>
              <w:rPr>
                <w:sz w:val="21"/>
                <w:szCs w:val="21"/>
                <w:lang w:val="en-IN"/>
              </w:rPr>
            </w:pPr>
            <w:r>
              <w:rPr>
                <w:sz w:val="21"/>
                <w:szCs w:val="21"/>
                <w:lang w:val="en-IN"/>
              </w:rPr>
              <w:t>The Tenderers must submit tenders online following the instruction appearing on the screen. Detailed guidelines for e-procurement are also available on the e-procurement portal.</w:t>
            </w:r>
          </w:p>
          <w:p>
            <w:pPr>
              <w:numPr>
                <w:ilvl w:val="0"/>
                <w:numId w:val="5"/>
              </w:numPr>
              <w:spacing w:before="40" w:after="40" w:line="300" w:lineRule="auto"/>
              <w:ind w:left="720" w:leftChars="0" w:hanging="360" w:firstLineChars="0"/>
              <w:jc w:val="both"/>
              <w:rPr>
                <w:sz w:val="21"/>
                <w:szCs w:val="21"/>
                <w:lang w:val="en-IN"/>
              </w:rPr>
            </w:pPr>
            <w:r>
              <w:rPr>
                <w:sz w:val="21"/>
                <w:szCs w:val="21"/>
                <w:lang w:val="en-IN"/>
              </w:rPr>
              <w:t>The tenders will need to be prepared in the forms provided in the Tendering Document and scanned in different files in PDF or JPEG format such that file size is not more than 10 MB and uploaded into the relevant online folders.</w:t>
            </w:r>
          </w:p>
          <w:p>
            <w:pPr>
              <w:numPr>
                <w:ilvl w:val="0"/>
                <w:numId w:val="5"/>
              </w:numPr>
              <w:spacing w:before="40" w:after="40" w:line="300" w:lineRule="auto"/>
              <w:ind w:left="720" w:leftChars="0" w:hanging="360" w:firstLineChars="0"/>
              <w:jc w:val="both"/>
              <w:rPr>
                <w:sz w:val="21"/>
                <w:szCs w:val="21"/>
                <w:lang w:val="en-IN"/>
              </w:rPr>
            </w:pPr>
            <w:r>
              <w:rPr>
                <w:sz w:val="21"/>
                <w:szCs w:val="21"/>
                <w:lang w:val="en-IN"/>
              </w:rPr>
              <w:t xml:space="preserve">The Tenderers are advised to download the excel sheets from the portal and fill their rates in excel sheet. Tenderer shall not modify the BOQ form in excel, like Item Description, quantity, etc. and should not rename the excel sheet. Tenderer can download excel sheet on their computer and fill it and then upload it or can directly fill online the price tender. </w:t>
            </w:r>
          </w:p>
          <w:p>
            <w:pPr>
              <w:numPr>
                <w:ilvl w:val="0"/>
                <w:numId w:val="5"/>
              </w:numPr>
              <w:spacing w:before="40" w:after="40" w:line="300" w:lineRule="auto"/>
              <w:ind w:left="720" w:leftChars="0" w:hanging="360" w:firstLineChars="0"/>
              <w:jc w:val="both"/>
              <w:rPr>
                <w:sz w:val="21"/>
                <w:szCs w:val="21"/>
                <w:lang w:val="en-IN"/>
              </w:rPr>
            </w:pPr>
            <w:r>
              <w:rPr>
                <w:sz w:val="21"/>
                <w:szCs w:val="21"/>
                <w:lang w:val="en-IN"/>
              </w:rPr>
              <w:t>The downloaded Tender forms shall be typed or written in indelible ink and shall be signed by a person duly authorized to sign on behalf of the Tenderer</w:t>
            </w:r>
          </w:p>
          <w:p>
            <w:pPr>
              <w:numPr>
                <w:ilvl w:val="0"/>
                <w:numId w:val="5"/>
              </w:numPr>
              <w:spacing w:before="40" w:after="40" w:line="300" w:lineRule="auto"/>
              <w:ind w:left="720" w:leftChars="0" w:hanging="360" w:firstLineChars="0"/>
              <w:jc w:val="both"/>
              <w:rPr>
                <w:sz w:val="21"/>
                <w:szCs w:val="21"/>
                <w:lang w:val="en-IN"/>
              </w:rPr>
            </w:pPr>
            <w:r>
              <w:rPr>
                <w:sz w:val="21"/>
                <w:szCs w:val="21"/>
                <w:lang w:val="en-IN"/>
              </w:rPr>
              <w:t>Tenderers shall take due precaution to upload and Freeze the Technical Tender documents and Price Tender documents onto the separate envelopes defined in (as separate attachments in the relevant folders) the e-procurement website, on or before the deadline for Tender submission specified in ITT 22.1 of the TDS. (The e- procurement portal will not allow submission of tenders after the due time of submission even if the user has logged in before the due time.)</w:t>
            </w:r>
          </w:p>
          <w:p>
            <w:pPr>
              <w:numPr>
                <w:ilvl w:val="0"/>
                <w:numId w:val="5"/>
              </w:numPr>
              <w:spacing w:before="40" w:after="40" w:line="300" w:lineRule="auto"/>
              <w:ind w:left="720" w:leftChars="0" w:hanging="360" w:firstLineChars="0"/>
              <w:jc w:val="both"/>
              <w:rPr>
                <w:sz w:val="21"/>
                <w:szCs w:val="21"/>
                <w:lang w:val="en-IN"/>
              </w:rPr>
            </w:pPr>
            <w:r>
              <w:rPr>
                <w:sz w:val="21"/>
                <w:szCs w:val="21"/>
                <w:lang w:val="en-IN"/>
              </w:rPr>
              <w:t>Tenderers shall upload their tenders in formats, which can be opened and read by open standard interfaces.</w:t>
            </w:r>
          </w:p>
          <w:p>
            <w:pPr>
              <w:numPr>
                <w:ilvl w:val="0"/>
                <w:numId w:val="5"/>
              </w:numPr>
              <w:spacing w:before="40" w:after="40" w:line="300" w:lineRule="auto"/>
              <w:ind w:left="720" w:leftChars="0" w:hanging="360" w:firstLineChars="0"/>
              <w:jc w:val="both"/>
              <w:rPr>
                <w:sz w:val="21"/>
                <w:szCs w:val="21"/>
                <w:lang w:val="en-IN"/>
              </w:rPr>
            </w:pPr>
            <w:r>
              <w:rPr>
                <w:sz w:val="21"/>
                <w:szCs w:val="21"/>
                <w:lang w:val="en-IN"/>
              </w:rPr>
              <w:t>Tenderers shall not lock electronic files uploaded in their proposal with passwords of their choice. The Employer reserves the right to reject the password protected/ locked files outright.</w:t>
            </w:r>
          </w:p>
          <w:p>
            <w:pPr>
              <w:tabs>
                <w:tab w:val="right" w:pos="7254"/>
              </w:tabs>
              <w:spacing w:before="40" w:after="40" w:line="300" w:lineRule="auto"/>
              <w:jc w:val="both"/>
              <w:rPr>
                <w:sz w:val="21"/>
                <w:szCs w:val="21"/>
              </w:rPr>
            </w:pPr>
          </w:p>
          <w:p>
            <w:pPr>
              <w:tabs>
                <w:tab w:val="right" w:pos="7254"/>
              </w:tabs>
              <w:spacing w:before="40" w:after="40" w:line="300" w:lineRule="auto"/>
              <w:jc w:val="both"/>
              <w:rPr>
                <w:sz w:val="21"/>
                <w:szCs w:val="21"/>
                <w:lang w:val="en-IN"/>
              </w:rPr>
            </w:pPr>
            <w:r>
              <w:rPr>
                <w:sz w:val="21"/>
                <w:szCs w:val="21"/>
              </w:rPr>
              <w:t>(</w:t>
            </w:r>
            <w:r>
              <w:rPr>
                <w:sz w:val="21"/>
                <w:szCs w:val="21"/>
                <w:lang w:val="en-IN"/>
              </w:rPr>
              <w:t>ii) Submission of Technical Tenders online:</w:t>
            </w:r>
          </w:p>
          <w:p>
            <w:pPr>
              <w:tabs>
                <w:tab w:val="right" w:pos="7254"/>
              </w:tabs>
              <w:spacing w:before="40" w:after="40" w:line="300" w:lineRule="auto"/>
              <w:jc w:val="both"/>
              <w:rPr>
                <w:sz w:val="21"/>
                <w:szCs w:val="21"/>
                <w:lang w:val="en-IN"/>
              </w:rPr>
            </w:pPr>
            <w:r>
              <w:rPr>
                <w:sz w:val="21"/>
                <w:szCs w:val="21"/>
                <w:lang w:val="en-IN"/>
              </w:rPr>
              <w:t xml:space="preserve">The Technical tender in accordance with the requirements of ITT 11.2, shall be uploaded in the relevant envelope (as attachment) in the </w:t>
            </w:r>
            <w:r>
              <w:rPr>
                <w:sz w:val="21"/>
                <w:szCs w:val="21"/>
              </w:rPr>
              <w:t xml:space="preserve">e-procurement portal </w:t>
            </w:r>
            <w:r>
              <w:rPr>
                <w:sz w:val="21"/>
                <w:szCs w:val="21"/>
                <w:lang w:val="en-IN"/>
              </w:rPr>
              <w:t xml:space="preserve">indicated in ITT 21.1 of the TDS. </w:t>
            </w:r>
          </w:p>
          <w:p>
            <w:pPr>
              <w:tabs>
                <w:tab w:val="right" w:pos="7254"/>
              </w:tabs>
              <w:spacing w:before="40" w:after="40" w:line="300" w:lineRule="auto"/>
              <w:jc w:val="both"/>
              <w:rPr>
                <w:sz w:val="21"/>
                <w:szCs w:val="21"/>
                <w:lang w:val="en-IN"/>
              </w:rPr>
            </w:pPr>
          </w:p>
          <w:p>
            <w:pPr>
              <w:tabs>
                <w:tab w:val="right" w:pos="7254"/>
              </w:tabs>
              <w:spacing w:before="40" w:after="40" w:line="300" w:lineRule="auto"/>
              <w:jc w:val="both"/>
              <w:rPr>
                <w:sz w:val="21"/>
                <w:szCs w:val="21"/>
                <w:lang w:val="en-IN"/>
              </w:rPr>
            </w:pPr>
            <w:r>
              <w:rPr>
                <w:sz w:val="21"/>
                <w:szCs w:val="21"/>
                <w:lang w:val="en-IN"/>
              </w:rPr>
              <w:t>(iii) Physical Submission of Supporting Documents: (Technical and Price Tenders shall be submitted through online only) Following instrument and list of supporting documents required to be submitted physically:</w:t>
            </w:r>
          </w:p>
          <w:p>
            <w:pPr>
              <w:numPr>
                <w:ilvl w:val="0"/>
                <w:numId w:val="4"/>
              </w:numPr>
              <w:spacing w:before="40" w:after="40" w:line="300" w:lineRule="auto"/>
              <w:jc w:val="both"/>
              <w:rPr>
                <w:sz w:val="21"/>
                <w:szCs w:val="21"/>
                <w:lang w:val="en-IN"/>
              </w:rPr>
            </w:pPr>
            <w:r>
              <w:rPr>
                <w:sz w:val="21"/>
                <w:szCs w:val="21"/>
                <w:lang w:val="en-IN"/>
              </w:rPr>
              <w:t xml:space="preserve">Original Tender Fee and Tender Security   in accordance with ITT 19 or Proof of payment of Tender Fee if made through </w:t>
            </w:r>
            <w:r>
              <w:rPr>
                <w:sz w:val="21"/>
                <w:szCs w:val="21"/>
              </w:rPr>
              <w:t>online mode.</w:t>
            </w:r>
          </w:p>
          <w:p>
            <w:pPr>
              <w:numPr>
                <w:ilvl w:val="0"/>
                <w:numId w:val="4"/>
              </w:numPr>
              <w:spacing w:before="40" w:after="40" w:line="300" w:lineRule="auto"/>
              <w:ind w:left="714" w:hanging="357"/>
              <w:jc w:val="both"/>
              <w:rPr>
                <w:sz w:val="21"/>
                <w:szCs w:val="21"/>
                <w:lang w:val="en-IN"/>
              </w:rPr>
            </w:pPr>
            <w:r>
              <w:rPr>
                <w:sz w:val="21"/>
                <w:szCs w:val="21"/>
                <w:lang w:val="en-IN"/>
              </w:rPr>
              <w:t>Power of Attorney for signing the Application as per the standard industry practice if applicable, Power of Attorney for Lead Member of Joint Venture as per the industry practice.</w:t>
            </w:r>
          </w:p>
          <w:p>
            <w:pPr>
              <w:spacing w:before="40" w:after="40" w:line="300" w:lineRule="auto"/>
              <w:jc w:val="both"/>
              <w:rPr>
                <w:sz w:val="21"/>
                <w:szCs w:val="21"/>
                <w:lang w:val="en-IN"/>
              </w:rPr>
            </w:pPr>
          </w:p>
          <w:p>
            <w:pPr>
              <w:spacing w:before="40" w:after="40" w:line="300" w:lineRule="auto"/>
              <w:jc w:val="both"/>
              <w:rPr>
                <w:sz w:val="21"/>
                <w:szCs w:val="21"/>
                <w:lang w:val="en-IN"/>
              </w:rPr>
            </w:pPr>
            <w:r>
              <w:rPr>
                <w:sz w:val="21"/>
                <w:szCs w:val="21"/>
                <w:lang w:val="en-IN"/>
              </w:rPr>
              <w:t>The above documents shall be delivered by the Tenderer to the Employer by the due date and time given below in the Employer’s address as given below:</w:t>
            </w:r>
          </w:p>
          <w:p>
            <w:pPr>
              <w:pStyle w:val="16"/>
              <w:spacing w:before="40" w:after="40" w:line="300" w:lineRule="auto"/>
              <w:jc w:val="both"/>
              <w:rPr>
                <w:i/>
                <w:sz w:val="21"/>
                <w:szCs w:val="21"/>
              </w:rPr>
            </w:pPr>
            <w:r>
              <w:rPr>
                <w:sz w:val="21"/>
                <w:szCs w:val="21"/>
              </w:rPr>
              <w:t>Attention: Executive Director, (TNRIDC)</w:t>
            </w:r>
          </w:p>
          <w:p>
            <w:pPr>
              <w:spacing w:before="40" w:after="40" w:line="300" w:lineRule="auto"/>
              <w:ind w:left="645" w:hanging="645"/>
              <w:jc w:val="both"/>
              <w:rPr>
                <w:sz w:val="21"/>
                <w:szCs w:val="21"/>
              </w:rPr>
            </w:pPr>
            <w:r>
              <w:rPr>
                <w:sz w:val="21"/>
                <w:szCs w:val="21"/>
              </w:rPr>
              <w:t xml:space="preserve">Street Address: </w:t>
            </w:r>
            <w:r>
              <w:rPr>
                <w:iCs/>
                <w:sz w:val="21"/>
                <w:szCs w:val="21"/>
              </w:rPr>
              <w:t xml:space="preserve">No. 735, </w:t>
            </w:r>
            <w:r>
              <w:rPr>
                <w:sz w:val="21"/>
                <w:szCs w:val="21"/>
              </w:rPr>
              <w:t>Anna Salai</w:t>
            </w:r>
          </w:p>
          <w:p>
            <w:pPr>
              <w:spacing w:before="40" w:after="40" w:line="300" w:lineRule="auto"/>
              <w:ind w:left="705" w:hanging="705"/>
              <w:jc w:val="both"/>
              <w:rPr>
                <w:sz w:val="21"/>
                <w:szCs w:val="21"/>
              </w:rPr>
            </w:pPr>
            <w:r>
              <w:rPr>
                <w:sz w:val="21"/>
                <w:szCs w:val="21"/>
              </w:rPr>
              <w:t>Floor/ Room number: 4</w:t>
            </w:r>
            <w:r>
              <w:rPr>
                <w:sz w:val="21"/>
                <w:szCs w:val="21"/>
                <w:vertAlign w:val="superscript"/>
              </w:rPr>
              <w:t>th</w:t>
            </w:r>
            <w:r>
              <w:rPr>
                <w:sz w:val="21"/>
                <w:szCs w:val="21"/>
              </w:rPr>
              <w:t xml:space="preserve"> Floor</w:t>
            </w:r>
            <w:r>
              <w:rPr>
                <w:sz w:val="21"/>
                <w:szCs w:val="21"/>
              </w:rPr>
              <w:tab/>
            </w:r>
          </w:p>
          <w:p>
            <w:pPr>
              <w:spacing w:before="40" w:after="40" w:line="300" w:lineRule="auto"/>
              <w:jc w:val="both"/>
              <w:rPr>
                <w:sz w:val="21"/>
                <w:szCs w:val="21"/>
              </w:rPr>
            </w:pPr>
            <w:r>
              <w:rPr>
                <w:sz w:val="21"/>
                <w:szCs w:val="21"/>
              </w:rPr>
              <w:t>City: Chennai</w:t>
            </w:r>
          </w:p>
          <w:p>
            <w:pPr>
              <w:spacing w:before="40" w:after="40" w:line="300" w:lineRule="auto"/>
              <w:jc w:val="both"/>
              <w:rPr>
                <w:sz w:val="21"/>
                <w:szCs w:val="21"/>
              </w:rPr>
            </w:pPr>
            <w:r>
              <w:rPr>
                <w:sz w:val="21"/>
                <w:szCs w:val="21"/>
              </w:rPr>
              <w:t>ZIP/Postal Code: 600002; Country: India</w:t>
            </w:r>
            <w:r>
              <w:rPr>
                <w:sz w:val="21"/>
                <w:szCs w:val="21"/>
              </w:rPr>
              <w:tab/>
            </w:r>
          </w:p>
          <w:p>
            <w:pPr>
              <w:spacing w:before="40" w:after="40" w:line="300" w:lineRule="auto"/>
              <w:jc w:val="both"/>
              <w:rPr>
                <w:b/>
                <w:bCs/>
                <w:sz w:val="21"/>
                <w:szCs w:val="21"/>
                <w:lang w:val="en-IN"/>
              </w:rPr>
            </w:pPr>
            <w:r>
              <w:rPr>
                <w:b/>
                <w:bCs/>
                <w:sz w:val="21"/>
                <w:szCs w:val="21"/>
              </w:rPr>
              <w:t>Date</w:t>
            </w:r>
            <w:r>
              <w:rPr>
                <w:b/>
                <w:bCs/>
                <w:sz w:val="21"/>
                <w:szCs w:val="21"/>
                <w:lang w:val="en-IN"/>
              </w:rPr>
              <w:t xml:space="preserve">:  </w:t>
            </w:r>
            <w:r>
              <w:rPr>
                <w:rFonts w:hint="default"/>
                <w:b/>
                <w:bCs w:val="0"/>
                <w:sz w:val="21"/>
                <w:szCs w:val="21"/>
                <w:lang w:val="en-US"/>
              </w:rPr>
              <w:t>03</w:t>
            </w:r>
            <w:r>
              <w:rPr>
                <w:b/>
                <w:bCs w:val="0"/>
                <w:sz w:val="21"/>
                <w:szCs w:val="21"/>
              </w:rPr>
              <w:t>.0</w:t>
            </w:r>
            <w:r>
              <w:rPr>
                <w:rFonts w:hint="default"/>
                <w:b/>
                <w:bCs w:val="0"/>
                <w:sz w:val="21"/>
                <w:szCs w:val="21"/>
                <w:lang w:val="en-US"/>
              </w:rPr>
              <w:t>2</w:t>
            </w:r>
            <w:r>
              <w:rPr>
                <w:b/>
                <w:bCs w:val="0"/>
                <w:sz w:val="21"/>
                <w:szCs w:val="21"/>
              </w:rPr>
              <w:t>.2</w:t>
            </w:r>
            <w:r>
              <w:rPr>
                <w:b/>
                <w:sz w:val="21"/>
                <w:szCs w:val="21"/>
              </w:rPr>
              <w:t>022</w:t>
            </w:r>
            <w:r>
              <w:rPr>
                <w:b/>
                <w:bCs/>
                <w:sz w:val="21"/>
                <w:szCs w:val="21"/>
                <w:lang w:val="en-IN"/>
              </w:rPr>
              <w:t xml:space="preserve"> &amp; Time: 11.00 Hrs (IST).</w:t>
            </w:r>
          </w:p>
          <w:p>
            <w:pPr>
              <w:spacing w:before="40" w:after="40" w:line="300" w:lineRule="auto"/>
              <w:jc w:val="both"/>
              <w:rPr>
                <w:sz w:val="21"/>
                <w:szCs w:val="21"/>
                <w:lang w:val="en-IN"/>
              </w:rPr>
            </w:pPr>
            <w:r>
              <w:rPr>
                <w:sz w:val="21"/>
                <w:szCs w:val="21"/>
                <w:lang w:val="en-IN"/>
              </w:rPr>
              <w:t xml:space="preserve">After electronic online submission of tenders, the system will generate a unique tender identification number which is time stamped as per server time. This shall be treated as acknowledgement of tender submission and tenders will quote this reference number of the envelop for identification purposes. </w:t>
            </w:r>
          </w:p>
          <w:p>
            <w:pPr>
              <w:spacing w:before="40" w:after="40" w:line="300" w:lineRule="auto"/>
              <w:jc w:val="both"/>
              <w:rPr>
                <w:sz w:val="21"/>
                <w:szCs w:val="21"/>
                <w:lang w:val="en-IN"/>
              </w:rPr>
            </w:pPr>
            <w:r>
              <w:rPr>
                <w:sz w:val="21"/>
                <w:szCs w:val="21"/>
                <w:lang w:val="en-IN"/>
              </w:rPr>
              <w:t>In case of non-receipt of these original documents within the deadline mentioned in 22.1 below, the tender will be declared non-responsive.</w:t>
            </w:r>
          </w:p>
          <w:p>
            <w:pPr>
              <w:spacing w:before="40" w:after="40" w:line="300" w:lineRule="auto"/>
              <w:jc w:val="both"/>
              <w:rPr>
                <w:sz w:val="21"/>
                <w:szCs w:val="21"/>
                <w:lang w:val="en-IN"/>
              </w:rPr>
            </w:pPr>
          </w:p>
          <w:p>
            <w:pPr>
              <w:spacing w:before="40" w:after="40" w:line="300" w:lineRule="auto"/>
              <w:jc w:val="both"/>
              <w:rPr>
                <w:sz w:val="21"/>
                <w:szCs w:val="21"/>
                <w:lang w:val="en-IN"/>
              </w:rPr>
            </w:pPr>
            <w:r>
              <w:rPr>
                <w:sz w:val="21"/>
                <w:szCs w:val="21"/>
                <w:lang w:val="en-IN"/>
              </w:rPr>
              <w:t xml:space="preserve">(iv) Submission of price tenders online: Digitally signed price tender, in accordance with ITT 11.3, shall be uploaded in the relevant envelope as attachment in the </w:t>
            </w:r>
            <w:r>
              <w:rPr>
                <w:sz w:val="21"/>
                <w:szCs w:val="21"/>
              </w:rPr>
              <w:t xml:space="preserve">e-procurement portal </w:t>
            </w:r>
            <w:r>
              <w:rPr>
                <w:sz w:val="21"/>
                <w:szCs w:val="21"/>
                <w:lang w:val="en-IN"/>
              </w:rPr>
              <w:t>indicated in ITT 1.2(a) of the TDS.</w:t>
            </w:r>
          </w:p>
          <w:p>
            <w:pPr>
              <w:spacing w:before="40" w:after="40" w:line="300" w:lineRule="auto"/>
              <w:jc w:val="both"/>
              <w:rPr>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7" w:hRule="atLeast"/>
        </w:trPr>
        <w:tc>
          <w:tcPr>
            <w:tcW w:w="179" w:type="pct"/>
            <w:tcBorders>
              <w:top w:val="single" w:color="auto" w:sz="4" w:space="0"/>
              <w:bottom w:val="single" w:color="auto" w:sz="4" w:space="0"/>
            </w:tcBorders>
            <w:shd w:val="clear" w:color="auto" w:fill="auto"/>
          </w:tcPr>
          <w:p>
            <w:pPr>
              <w:pStyle w:val="31"/>
              <w:numPr>
                <w:ilvl w:val="0"/>
                <w:numId w:val="2"/>
              </w:numPr>
              <w:autoSpaceDE w:val="0"/>
              <w:autoSpaceDN w:val="0"/>
              <w:adjustRightInd w:val="0"/>
              <w:spacing w:before="40" w:after="40" w:line="288" w:lineRule="auto"/>
              <w:ind w:left="360"/>
              <w:jc w:val="center"/>
              <w:rPr>
                <w:rFonts w:ascii="Times New Roman" w:hAnsi="Times New Roman" w:cs="Times New Roman"/>
                <w:b/>
                <w:color w:val="000000" w:themeColor="text1"/>
                <w:sz w:val="21"/>
                <w:szCs w:val="21"/>
                <w14:textFill>
                  <w14:solidFill>
                    <w14:schemeClr w14:val="tx1"/>
                  </w14:solidFill>
                </w14:textFill>
              </w:rPr>
            </w:pPr>
          </w:p>
        </w:tc>
        <w:tc>
          <w:tcPr>
            <w:tcW w:w="458" w:type="pct"/>
            <w:tcBorders>
              <w:top w:val="single" w:color="auto" w:sz="4" w:space="0"/>
              <w:bottom w:val="single" w:color="auto" w:sz="4" w:space="0"/>
            </w:tcBorders>
            <w:shd w:val="clear" w:color="auto" w:fill="auto"/>
          </w:tcPr>
          <w:p>
            <w:pPr>
              <w:spacing w:before="40" w:after="40" w:line="276" w:lineRule="auto"/>
              <w:rPr>
                <w:b/>
                <w:bCs/>
                <w:sz w:val="21"/>
                <w:szCs w:val="21"/>
              </w:rPr>
            </w:pPr>
            <w:r>
              <w:rPr>
                <w:b/>
                <w:bCs/>
                <w:sz w:val="21"/>
                <w:szCs w:val="21"/>
              </w:rPr>
              <w:t>Part 1</w:t>
            </w:r>
          </w:p>
          <w:p>
            <w:pPr>
              <w:spacing w:before="40" w:after="40" w:line="276" w:lineRule="auto"/>
              <w:rPr>
                <w:b/>
                <w:bCs/>
                <w:sz w:val="21"/>
                <w:szCs w:val="21"/>
              </w:rPr>
            </w:pPr>
            <w:r>
              <w:rPr>
                <w:b/>
                <w:bCs/>
                <w:sz w:val="21"/>
                <w:szCs w:val="21"/>
              </w:rPr>
              <w:t>Section II - Tender Data Sheet</w:t>
            </w:r>
          </w:p>
          <w:p>
            <w:pPr>
              <w:spacing w:before="40" w:after="40" w:line="276" w:lineRule="auto"/>
              <w:rPr>
                <w:b/>
                <w:bCs/>
                <w:sz w:val="21"/>
                <w:szCs w:val="21"/>
              </w:rPr>
            </w:pPr>
            <w:r>
              <w:rPr>
                <w:b/>
                <w:bCs/>
                <w:sz w:val="21"/>
                <w:szCs w:val="21"/>
              </w:rPr>
              <w:t>ITT 22.1</w:t>
            </w:r>
          </w:p>
          <w:p>
            <w:pPr>
              <w:spacing w:before="40" w:after="40" w:line="276" w:lineRule="auto"/>
              <w:rPr>
                <w:b/>
                <w:bCs/>
                <w:sz w:val="21"/>
                <w:szCs w:val="21"/>
              </w:rPr>
            </w:pPr>
            <w:r>
              <w:rPr>
                <w:sz w:val="21"/>
                <w:szCs w:val="21"/>
              </w:rPr>
              <w:t>(Pg. No. 48)</w:t>
            </w:r>
          </w:p>
        </w:tc>
        <w:tc>
          <w:tcPr>
            <w:tcW w:w="2181" w:type="pct"/>
            <w:tcBorders>
              <w:top w:val="single" w:color="auto" w:sz="4" w:space="0"/>
              <w:bottom w:val="single" w:color="auto" w:sz="4" w:space="0"/>
            </w:tcBorders>
            <w:shd w:val="clear" w:color="auto" w:fill="auto"/>
          </w:tcPr>
          <w:p>
            <w:pPr>
              <w:spacing w:before="40" w:after="40" w:line="312" w:lineRule="auto"/>
              <w:jc w:val="center"/>
              <w:rPr>
                <w:sz w:val="21"/>
                <w:szCs w:val="21"/>
              </w:rPr>
            </w:pPr>
          </w:p>
          <w:tbl>
            <w:tblPr>
              <w:tblStyle w:val="2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75"/>
              <w:gridCol w:w="553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 w:hRule="atLeast"/>
              </w:trPr>
              <w:tc>
                <w:tcPr>
                  <w:tcW w:w="875" w:type="dxa"/>
                </w:tcPr>
                <w:p>
                  <w:pPr>
                    <w:spacing w:before="40" w:after="40" w:line="312" w:lineRule="auto"/>
                    <w:rPr>
                      <w:sz w:val="21"/>
                      <w:szCs w:val="21"/>
                    </w:rPr>
                  </w:pPr>
                  <w:r>
                    <w:rPr>
                      <w:sz w:val="21"/>
                      <w:szCs w:val="21"/>
                    </w:rPr>
                    <w:t>ITT 22.1</w:t>
                  </w:r>
                </w:p>
              </w:tc>
              <w:tc>
                <w:tcPr>
                  <w:tcW w:w="5538" w:type="dxa"/>
                </w:tcPr>
                <w:p>
                  <w:pPr>
                    <w:tabs>
                      <w:tab w:val="right" w:pos="4860"/>
                    </w:tabs>
                    <w:spacing w:before="40" w:after="40" w:line="312" w:lineRule="auto"/>
                    <w:rPr>
                      <w:sz w:val="21"/>
                      <w:szCs w:val="21"/>
                    </w:rPr>
                  </w:pPr>
                  <w:r>
                    <w:rPr>
                      <w:sz w:val="21"/>
                      <w:szCs w:val="21"/>
                    </w:rPr>
                    <w:t>The Employer’s address is:</w:t>
                  </w:r>
                </w:p>
                <w:p>
                  <w:pPr>
                    <w:tabs>
                      <w:tab w:val="right" w:pos="4860"/>
                    </w:tabs>
                    <w:spacing w:before="40" w:after="40" w:line="312" w:lineRule="auto"/>
                    <w:jc w:val="both"/>
                    <w:rPr>
                      <w:i/>
                      <w:sz w:val="21"/>
                      <w:szCs w:val="21"/>
                    </w:rPr>
                  </w:pPr>
                  <w:r>
                    <w:rPr>
                      <w:sz w:val="21"/>
                      <w:szCs w:val="21"/>
                    </w:rPr>
                    <w:t>O/o Executive Director</w:t>
                  </w:r>
                  <w:r>
                    <w:rPr>
                      <w:i/>
                      <w:sz w:val="21"/>
                      <w:szCs w:val="21"/>
                    </w:rPr>
                    <w:t>,</w:t>
                  </w:r>
                  <w:r>
                    <w:rPr>
                      <w:sz w:val="21"/>
                      <w:szCs w:val="21"/>
                    </w:rPr>
                    <w:t xml:space="preserve"> TNRIDC</w:t>
                  </w:r>
                </w:p>
                <w:p>
                  <w:pPr>
                    <w:tabs>
                      <w:tab w:val="right" w:pos="4860"/>
                    </w:tabs>
                    <w:spacing w:before="40" w:after="40" w:line="312" w:lineRule="auto"/>
                    <w:jc w:val="both"/>
                    <w:rPr>
                      <w:i/>
                      <w:sz w:val="21"/>
                      <w:szCs w:val="21"/>
                    </w:rPr>
                  </w:pPr>
                  <w:r>
                    <w:rPr>
                      <w:sz w:val="21"/>
                      <w:szCs w:val="21"/>
                    </w:rPr>
                    <w:t>Street Address: No.735, Anna Salai</w:t>
                  </w:r>
                </w:p>
                <w:p>
                  <w:pPr>
                    <w:tabs>
                      <w:tab w:val="right" w:pos="4860"/>
                    </w:tabs>
                    <w:spacing w:before="40" w:after="40" w:line="312" w:lineRule="auto"/>
                    <w:jc w:val="both"/>
                    <w:rPr>
                      <w:sz w:val="21"/>
                      <w:szCs w:val="21"/>
                    </w:rPr>
                  </w:pPr>
                  <w:r>
                    <w:rPr>
                      <w:sz w:val="21"/>
                      <w:szCs w:val="21"/>
                    </w:rPr>
                    <w:t>Floor/Room number</w:t>
                  </w:r>
                  <w:r>
                    <w:rPr>
                      <w:i/>
                      <w:sz w:val="21"/>
                      <w:szCs w:val="21"/>
                    </w:rPr>
                    <w:t xml:space="preserve">: </w:t>
                  </w:r>
                  <w:r>
                    <w:rPr>
                      <w:sz w:val="21"/>
                      <w:szCs w:val="21"/>
                    </w:rPr>
                    <w:t>4</w:t>
                  </w:r>
                  <w:r>
                    <w:rPr>
                      <w:sz w:val="21"/>
                      <w:szCs w:val="21"/>
                      <w:vertAlign w:val="superscript"/>
                    </w:rPr>
                    <w:t xml:space="preserve">th </w:t>
                  </w:r>
                  <w:r>
                    <w:rPr>
                      <w:sz w:val="21"/>
                      <w:szCs w:val="21"/>
                    </w:rPr>
                    <w:t xml:space="preserve">Floor, L.L.A Building, </w:t>
                  </w:r>
                </w:p>
                <w:p>
                  <w:pPr>
                    <w:tabs>
                      <w:tab w:val="right" w:pos="4860"/>
                    </w:tabs>
                    <w:spacing w:before="40" w:after="40" w:line="312" w:lineRule="auto"/>
                    <w:jc w:val="both"/>
                    <w:rPr>
                      <w:sz w:val="21"/>
                      <w:szCs w:val="21"/>
                    </w:rPr>
                  </w:pPr>
                  <w:r>
                    <w:rPr>
                      <w:sz w:val="21"/>
                      <w:szCs w:val="21"/>
                    </w:rPr>
                    <w:t>City: Chennai, Tamil Nadu</w:t>
                  </w:r>
                </w:p>
                <w:p>
                  <w:pPr>
                    <w:tabs>
                      <w:tab w:val="right" w:pos="4860"/>
                    </w:tabs>
                    <w:spacing w:before="40" w:after="40" w:line="312" w:lineRule="auto"/>
                    <w:jc w:val="both"/>
                    <w:rPr>
                      <w:sz w:val="21"/>
                      <w:szCs w:val="21"/>
                    </w:rPr>
                  </w:pPr>
                  <w:r>
                    <w:rPr>
                      <w:sz w:val="21"/>
                      <w:szCs w:val="21"/>
                    </w:rPr>
                    <w:t xml:space="preserve">ZIP Code: 600 002, </w:t>
                  </w:r>
                </w:p>
                <w:p>
                  <w:pPr>
                    <w:tabs>
                      <w:tab w:val="right" w:pos="4860"/>
                    </w:tabs>
                    <w:spacing w:before="40" w:after="40" w:line="312" w:lineRule="auto"/>
                    <w:jc w:val="both"/>
                    <w:rPr>
                      <w:sz w:val="21"/>
                      <w:szCs w:val="21"/>
                    </w:rPr>
                  </w:pPr>
                  <w:r>
                    <w:rPr>
                      <w:sz w:val="21"/>
                      <w:szCs w:val="21"/>
                    </w:rPr>
                    <w:t>Country: India</w:t>
                  </w:r>
                </w:p>
                <w:p>
                  <w:pPr>
                    <w:tabs>
                      <w:tab w:val="right" w:pos="4860"/>
                    </w:tabs>
                    <w:spacing w:before="40" w:after="40" w:line="312" w:lineRule="auto"/>
                    <w:jc w:val="both"/>
                    <w:rPr>
                      <w:sz w:val="21"/>
                      <w:szCs w:val="21"/>
                      <w:lang w:val="en-IN"/>
                    </w:rPr>
                  </w:pPr>
                  <w:r>
                    <w:rPr>
                      <w:sz w:val="21"/>
                      <w:szCs w:val="21"/>
                      <w:lang w:val="en-IN"/>
                    </w:rPr>
                    <w:t xml:space="preserve">The tenders shall be submitted only through online                                e-procurement portal </w:t>
                  </w:r>
                  <w:r>
                    <w:fldChar w:fldCharType="begin"/>
                  </w:r>
                  <w:r>
                    <w:instrText xml:space="preserve"> HYPERLINK "http://www.tntenders.gov.in" </w:instrText>
                  </w:r>
                  <w:r>
                    <w:fldChar w:fldCharType="separate"/>
                  </w:r>
                  <w:r>
                    <w:rPr>
                      <w:rStyle w:val="20"/>
                      <w:sz w:val="21"/>
                      <w:szCs w:val="21"/>
                      <w:lang w:val="en-IN"/>
                    </w:rPr>
                    <w:t>www.tntenders.gov.in</w:t>
                  </w:r>
                  <w:r>
                    <w:rPr>
                      <w:rStyle w:val="20"/>
                      <w:sz w:val="21"/>
                      <w:szCs w:val="21"/>
                      <w:lang w:val="en-IN"/>
                    </w:rPr>
                    <w:fldChar w:fldCharType="end"/>
                  </w:r>
                  <w:r>
                    <w:rPr>
                      <w:sz w:val="21"/>
                      <w:szCs w:val="21"/>
                      <w:lang w:val="en-IN"/>
                    </w:rPr>
                    <w:t xml:space="preserve"> on or before the due date for tender submission given below:</w:t>
                  </w:r>
                </w:p>
                <w:p>
                  <w:pPr>
                    <w:spacing w:before="40" w:after="40" w:line="312" w:lineRule="auto"/>
                    <w:jc w:val="both"/>
                    <w:rPr>
                      <w:b/>
                      <w:bCs/>
                      <w:i/>
                      <w:sz w:val="21"/>
                      <w:szCs w:val="21"/>
                    </w:rPr>
                  </w:pPr>
                  <w:r>
                    <w:rPr>
                      <w:b/>
                      <w:bCs/>
                      <w:sz w:val="21"/>
                      <w:szCs w:val="21"/>
                    </w:rPr>
                    <w:t>Due Date for Tender Submission: 19.01.2022</w:t>
                  </w:r>
                </w:p>
                <w:p>
                  <w:pPr>
                    <w:spacing w:before="40" w:after="40" w:line="312" w:lineRule="auto"/>
                    <w:jc w:val="both"/>
                    <w:rPr>
                      <w:bCs/>
                      <w:sz w:val="21"/>
                      <w:szCs w:val="21"/>
                    </w:rPr>
                  </w:pPr>
                  <w:r>
                    <w:rPr>
                      <w:sz w:val="21"/>
                      <w:szCs w:val="21"/>
                    </w:rPr>
                    <w:t>Time: 11.00 Hrs (IST) time displayed on the e-procurement portal shall prevail.</w:t>
                  </w:r>
                </w:p>
              </w:tc>
            </w:tr>
          </w:tbl>
          <w:p>
            <w:pPr>
              <w:spacing w:before="40" w:after="40" w:line="312" w:lineRule="auto"/>
              <w:jc w:val="center"/>
              <w:rPr>
                <w:sz w:val="21"/>
                <w:szCs w:val="21"/>
              </w:rPr>
            </w:pPr>
          </w:p>
        </w:tc>
        <w:tc>
          <w:tcPr>
            <w:tcW w:w="2182" w:type="pct"/>
            <w:tcBorders>
              <w:top w:val="single" w:color="auto" w:sz="4" w:space="0"/>
              <w:bottom w:val="single" w:color="auto" w:sz="4" w:space="0"/>
            </w:tcBorders>
            <w:shd w:val="clear" w:color="auto" w:fill="auto"/>
          </w:tcPr>
          <w:p>
            <w:pPr>
              <w:spacing w:before="40" w:after="40" w:line="312" w:lineRule="auto"/>
              <w:jc w:val="center"/>
              <w:rPr>
                <w:b/>
                <w:bCs/>
                <w:sz w:val="21"/>
                <w:szCs w:val="21"/>
                <w:highlight w:val="yellow"/>
              </w:rPr>
            </w:pPr>
          </w:p>
          <w:tbl>
            <w:tblPr>
              <w:tblStyle w:val="2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025"/>
              <w:gridCol w:w="552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 w:hRule="atLeast"/>
              </w:trPr>
              <w:tc>
                <w:tcPr>
                  <w:tcW w:w="1025" w:type="dxa"/>
                </w:tcPr>
                <w:p>
                  <w:pPr>
                    <w:spacing w:before="40" w:after="40" w:line="312" w:lineRule="auto"/>
                    <w:rPr>
                      <w:sz w:val="21"/>
                      <w:szCs w:val="21"/>
                    </w:rPr>
                  </w:pPr>
                  <w:r>
                    <w:rPr>
                      <w:sz w:val="21"/>
                      <w:szCs w:val="21"/>
                    </w:rPr>
                    <w:t>ITT 22.1</w:t>
                  </w:r>
                </w:p>
              </w:tc>
              <w:tc>
                <w:tcPr>
                  <w:tcW w:w="5524" w:type="dxa"/>
                </w:tcPr>
                <w:p>
                  <w:pPr>
                    <w:tabs>
                      <w:tab w:val="right" w:pos="4860"/>
                    </w:tabs>
                    <w:spacing w:before="40" w:after="40" w:line="312" w:lineRule="auto"/>
                    <w:rPr>
                      <w:sz w:val="21"/>
                      <w:szCs w:val="21"/>
                    </w:rPr>
                  </w:pPr>
                  <w:r>
                    <w:rPr>
                      <w:sz w:val="21"/>
                      <w:szCs w:val="21"/>
                    </w:rPr>
                    <w:t>The Employer’s address is:</w:t>
                  </w:r>
                </w:p>
                <w:p>
                  <w:pPr>
                    <w:tabs>
                      <w:tab w:val="right" w:pos="4860"/>
                    </w:tabs>
                    <w:spacing w:before="40" w:after="40" w:line="312" w:lineRule="auto"/>
                    <w:jc w:val="both"/>
                    <w:rPr>
                      <w:i/>
                      <w:sz w:val="21"/>
                      <w:szCs w:val="21"/>
                    </w:rPr>
                  </w:pPr>
                  <w:r>
                    <w:rPr>
                      <w:sz w:val="21"/>
                      <w:szCs w:val="21"/>
                    </w:rPr>
                    <w:t>O/o Executive Director</w:t>
                  </w:r>
                  <w:r>
                    <w:rPr>
                      <w:i/>
                      <w:sz w:val="21"/>
                      <w:szCs w:val="21"/>
                    </w:rPr>
                    <w:t>,</w:t>
                  </w:r>
                  <w:r>
                    <w:rPr>
                      <w:sz w:val="21"/>
                      <w:szCs w:val="21"/>
                    </w:rPr>
                    <w:t xml:space="preserve"> TNRIDC</w:t>
                  </w:r>
                </w:p>
                <w:p>
                  <w:pPr>
                    <w:tabs>
                      <w:tab w:val="right" w:pos="4860"/>
                    </w:tabs>
                    <w:spacing w:before="40" w:after="40" w:line="312" w:lineRule="auto"/>
                    <w:jc w:val="both"/>
                    <w:rPr>
                      <w:i/>
                      <w:sz w:val="21"/>
                      <w:szCs w:val="21"/>
                    </w:rPr>
                  </w:pPr>
                  <w:r>
                    <w:rPr>
                      <w:sz w:val="21"/>
                      <w:szCs w:val="21"/>
                    </w:rPr>
                    <w:t>Street Address: No.735, Anna Salai</w:t>
                  </w:r>
                </w:p>
                <w:p>
                  <w:pPr>
                    <w:tabs>
                      <w:tab w:val="right" w:pos="4860"/>
                    </w:tabs>
                    <w:spacing w:before="40" w:after="40" w:line="312" w:lineRule="auto"/>
                    <w:jc w:val="both"/>
                    <w:rPr>
                      <w:sz w:val="21"/>
                      <w:szCs w:val="21"/>
                    </w:rPr>
                  </w:pPr>
                  <w:r>
                    <w:rPr>
                      <w:sz w:val="21"/>
                      <w:szCs w:val="21"/>
                    </w:rPr>
                    <w:t>Floor/Room number</w:t>
                  </w:r>
                  <w:r>
                    <w:rPr>
                      <w:i/>
                      <w:sz w:val="21"/>
                      <w:szCs w:val="21"/>
                    </w:rPr>
                    <w:t xml:space="preserve">: </w:t>
                  </w:r>
                  <w:r>
                    <w:rPr>
                      <w:sz w:val="21"/>
                      <w:szCs w:val="21"/>
                    </w:rPr>
                    <w:t>4</w:t>
                  </w:r>
                  <w:r>
                    <w:rPr>
                      <w:sz w:val="21"/>
                      <w:szCs w:val="21"/>
                      <w:vertAlign w:val="superscript"/>
                    </w:rPr>
                    <w:t xml:space="preserve">th </w:t>
                  </w:r>
                  <w:r>
                    <w:rPr>
                      <w:sz w:val="21"/>
                      <w:szCs w:val="21"/>
                    </w:rPr>
                    <w:t xml:space="preserve">Floor, L.L.A Building, </w:t>
                  </w:r>
                </w:p>
                <w:p>
                  <w:pPr>
                    <w:tabs>
                      <w:tab w:val="right" w:pos="4860"/>
                    </w:tabs>
                    <w:spacing w:before="40" w:after="40" w:line="312" w:lineRule="auto"/>
                    <w:jc w:val="both"/>
                    <w:rPr>
                      <w:sz w:val="21"/>
                      <w:szCs w:val="21"/>
                    </w:rPr>
                  </w:pPr>
                  <w:r>
                    <w:rPr>
                      <w:sz w:val="21"/>
                      <w:szCs w:val="21"/>
                    </w:rPr>
                    <w:t>City: Chennai, Tamil Nadu</w:t>
                  </w:r>
                </w:p>
                <w:p>
                  <w:pPr>
                    <w:tabs>
                      <w:tab w:val="right" w:pos="4860"/>
                    </w:tabs>
                    <w:spacing w:before="40" w:after="40" w:line="312" w:lineRule="auto"/>
                    <w:jc w:val="both"/>
                    <w:rPr>
                      <w:sz w:val="21"/>
                      <w:szCs w:val="21"/>
                    </w:rPr>
                  </w:pPr>
                  <w:r>
                    <w:rPr>
                      <w:sz w:val="21"/>
                      <w:szCs w:val="21"/>
                    </w:rPr>
                    <w:t xml:space="preserve">ZIP Code: 600 002, </w:t>
                  </w:r>
                </w:p>
                <w:p>
                  <w:pPr>
                    <w:tabs>
                      <w:tab w:val="right" w:pos="4860"/>
                    </w:tabs>
                    <w:spacing w:before="40" w:after="40" w:line="312" w:lineRule="auto"/>
                    <w:jc w:val="both"/>
                    <w:rPr>
                      <w:sz w:val="21"/>
                      <w:szCs w:val="21"/>
                    </w:rPr>
                  </w:pPr>
                  <w:r>
                    <w:rPr>
                      <w:sz w:val="21"/>
                      <w:szCs w:val="21"/>
                    </w:rPr>
                    <w:t>Country: India</w:t>
                  </w:r>
                </w:p>
                <w:p>
                  <w:pPr>
                    <w:tabs>
                      <w:tab w:val="right" w:pos="4860"/>
                    </w:tabs>
                    <w:spacing w:before="40" w:after="40" w:line="312" w:lineRule="auto"/>
                    <w:jc w:val="both"/>
                    <w:rPr>
                      <w:sz w:val="21"/>
                      <w:szCs w:val="21"/>
                      <w:lang w:val="en-IN"/>
                    </w:rPr>
                  </w:pPr>
                  <w:r>
                    <w:rPr>
                      <w:sz w:val="21"/>
                      <w:szCs w:val="21"/>
                      <w:lang w:val="en-IN"/>
                    </w:rPr>
                    <w:t xml:space="preserve">The tenders shall be submitted only through online                                e-procurement portal </w:t>
                  </w:r>
                  <w:r>
                    <w:fldChar w:fldCharType="begin"/>
                  </w:r>
                  <w:r>
                    <w:instrText xml:space="preserve"> HYPERLINK "http://www.tntenders.gov.in" </w:instrText>
                  </w:r>
                  <w:r>
                    <w:fldChar w:fldCharType="separate"/>
                  </w:r>
                  <w:r>
                    <w:rPr>
                      <w:rStyle w:val="20"/>
                      <w:sz w:val="21"/>
                      <w:szCs w:val="21"/>
                      <w:lang w:val="en-IN"/>
                    </w:rPr>
                    <w:t>www.tntenders.gov.in</w:t>
                  </w:r>
                  <w:r>
                    <w:rPr>
                      <w:rStyle w:val="20"/>
                      <w:sz w:val="21"/>
                      <w:szCs w:val="21"/>
                      <w:lang w:val="en-IN"/>
                    </w:rPr>
                    <w:fldChar w:fldCharType="end"/>
                  </w:r>
                  <w:r>
                    <w:rPr>
                      <w:sz w:val="21"/>
                      <w:szCs w:val="21"/>
                      <w:lang w:val="en-IN"/>
                    </w:rPr>
                    <w:t xml:space="preserve"> on or before the due date for tender submission given below:</w:t>
                  </w:r>
                </w:p>
                <w:p>
                  <w:pPr>
                    <w:spacing w:before="40" w:after="40" w:line="312" w:lineRule="auto"/>
                    <w:jc w:val="both"/>
                    <w:rPr>
                      <w:b/>
                      <w:bCs/>
                      <w:i/>
                      <w:sz w:val="21"/>
                      <w:szCs w:val="21"/>
                    </w:rPr>
                  </w:pPr>
                  <w:r>
                    <w:rPr>
                      <w:b/>
                      <w:bCs/>
                      <w:sz w:val="21"/>
                      <w:szCs w:val="21"/>
                    </w:rPr>
                    <w:t xml:space="preserve">Due Date for Tender Submission: </w:t>
                  </w:r>
                  <w:r>
                    <w:rPr>
                      <w:rFonts w:hint="default"/>
                      <w:b/>
                      <w:bCs w:val="0"/>
                      <w:sz w:val="21"/>
                      <w:szCs w:val="21"/>
                      <w:lang w:val="en-US"/>
                    </w:rPr>
                    <w:t>03</w:t>
                  </w:r>
                  <w:r>
                    <w:rPr>
                      <w:b/>
                      <w:bCs w:val="0"/>
                      <w:sz w:val="21"/>
                      <w:szCs w:val="21"/>
                    </w:rPr>
                    <w:t>.0</w:t>
                  </w:r>
                  <w:r>
                    <w:rPr>
                      <w:rFonts w:hint="default"/>
                      <w:b/>
                      <w:bCs w:val="0"/>
                      <w:sz w:val="21"/>
                      <w:szCs w:val="21"/>
                      <w:lang w:val="en-US"/>
                    </w:rPr>
                    <w:t>2</w:t>
                  </w:r>
                  <w:r>
                    <w:rPr>
                      <w:b/>
                      <w:bCs w:val="0"/>
                      <w:sz w:val="21"/>
                      <w:szCs w:val="21"/>
                    </w:rPr>
                    <w:t>.2</w:t>
                  </w:r>
                  <w:r>
                    <w:rPr>
                      <w:b/>
                      <w:sz w:val="21"/>
                      <w:szCs w:val="21"/>
                    </w:rPr>
                    <w:t>022</w:t>
                  </w:r>
                </w:p>
                <w:p>
                  <w:pPr>
                    <w:spacing w:before="40" w:after="40" w:line="312" w:lineRule="auto"/>
                    <w:jc w:val="both"/>
                    <w:rPr>
                      <w:sz w:val="21"/>
                      <w:szCs w:val="21"/>
                    </w:rPr>
                  </w:pPr>
                  <w:r>
                    <w:rPr>
                      <w:sz w:val="21"/>
                      <w:szCs w:val="21"/>
                    </w:rPr>
                    <w:t>Time: 11.00 Hrs (IST) time displayed on the e-procurement portal shall prevail.</w:t>
                  </w:r>
                </w:p>
              </w:tc>
            </w:tr>
          </w:tbl>
          <w:p>
            <w:pPr>
              <w:spacing w:before="40" w:after="40" w:line="312" w:lineRule="auto"/>
              <w:jc w:val="center"/>
              <w:rPr>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1" w:hRule="atLeast"/>
        </w:trPr>
        <w:tc>
          <w:tcPr>
            <w:tcW w:w="179" w:type="pct"/>
            <w:tcBorders>
              <w:top w:val="single" w:color="auto" w:sz="4" w:space="0"/>
              <w:bottom w:val="single" w:color="auto" w:sz="4" w:space="0"/>
            </w:tcBorders>
            <w:shd w:val="clear" w:color="auto" w:fill="auto"/>
          </w:tcPr>
          <w:p>
            <w:pPr>
              <w:pStyle w:val="31"/>
              <w:numPr>
                <w:ilvl w:val="0"/>
                <w:numId w:val="2"/>
              </w:numPr>
              <w:autoSpaceDE w:val="0"/>
              <w:autoSpaceDN w:val="0"/>
              <w:adjustRightInd w:val="0"/>
              <w:spacing w:before="40" w:after="40" w:line="288" w:lineRule="auto"/>
              <w:ind w:left="360"/>
              <w:jc w:val="center"/>
              <w:rPr>
                <w:rFonts w:ascii="Times New Roman" w:hAnsi="Times New Roman" w:cs="Times New Roman"/>
                <w:b/>
                <w:color w:val="000000" w:themeColor="text1"/>
                <w:sz w:val="21"/>
                <w:szCs w:val="21"/>
                <w14:textFill>
                  <w14:solidFill>
                    <w14:schemeClr w14:val="tx1"/>
                  </w14:solidFill>
                </w14:textFill>
              </w:rPr>
            </w:pPr>
          </w:p>
        </w:tc>
        <w:tc>
          <w:tcPr>
            <w:tcW w:w="458" w:type="pct"/>
            <w:tcBorders>
              <w:top w:val="single" w:color="auto" w:sz="4" w:space="0"/>
              <w:bottom w:val="single" w:color="auto" w:sz="4" w:space="0"/>
            </w:tcBorders>
            <w:shd w:val="clear" w:color="auto" w:fill="auto"/>
          </w:tcPr>
          <w:p>
            <w:pPr>
              <w:spacing w:before="40" w:after="40" w:line="276" w:lineRule="auto"/>
              <w:rPr>
                <w:b/>
                <w:bCs/>
                <w:sz w:val="21"/>
                <w:szCs w:val="21"/>
              </w:rPr>
            </w:pPr>
            <w:r>
              <w:rPr>
                <w:b/>
                <w:bCs/>
                <w:sz w:val="21"/>
                <w:szCs w:val="21"/>
              </w:rPr>
              <w:t>Part 1</w:t>
            </w:r>
          </w:p>
          <w:p>
            <w:pPr>
              <w:spacing w:before="40" w:after="40" w:line="276" w:lineRule="auto"/>
              <w:rPr>
                <w:b/>
                <w:bCs/>
                <w:sz w:val="21"/>
                <w:szCs w:val="21"/>
              </w:rPr>
            </w:pPr>
            <w:r>
              <w:rPr>
                <w:b/>
                <w:bCs/>
                <w:sz w:val="21"/>
                <w:szCs w:val="21"/>
              </w:rPr>
              <w:t>Section II - Tender Data Sheet</w:t>
            </w:r>
          </w:p>
          <w:p>
            <w:pPr>
              <w:spacing w:before="40" w:after="40" w:line="276" w:lineRule="auto"/>
              <w:rPr>
                <w:b/>
                <w:bCs/>
                <w:sz w:val="21"/>
                <w:szCs w:val="21"/>
              </w:rPr>
            </w:pPr>
            <w:r>
              <w:rPr>
                <w:b/>
                <w:bCs/>
                <w:sz w:val="21"/>
                <w:szCs w:val="21"/>
              </w:rPr>
              <w:t>ITT 25.1</w:t>
            </w:r>
          </w:p>
          <w:p>
            <w:pPr>
              <w:spacing w:before="40" w:after="40" w:line="276" w:lineRule="auto"/>
              <w:rPr>
                <w:b/>
                <w:bCs/>
                <w:sz w:val="21"/>
                <w:szCs w:val="21"/>
              </w:rPr>
            </w:pPr>
            <w:r>
              <w:rPr>
                <w:sz w:val="21"/>
                <w:szCs w:val="21"/>
              </w:rPr>
              <w:t>(Pg. No. 49)</w:t>
            </w:r>
          </w:p>
        </w:tc>
        <w:tc>
          <w:tcPr>
            <w:tcW w:w="2181" w:type="pct"/>
            <w:tcBorders>
              <w:top w:val="single" w:color="auto" w:sz="4" w:space="0"/>
              <w:bottom w:val="single" w:color="auto" w:sz="4" w:space="0"/>
            </w:tcBorders>
            <w:shd w:val="clear" w:color="auto" w:fill="auto"/>
          </w:tcPr>
          <w:p>
            <w:pPr>
              <w:spacing w:before="40" w:after="40" w:line="276" w:lineRule="auto"/>
              <w:jc w:val="center"/>
              <w:rPr>
                <w:sz w:val="21"/>
                <w:szCs w:val="21"/>
              </w:rPr>
            </w:pPr>
          </w:p>
          <w:tbl>
            <w:tblPr>
              <w:tblStyle w:val="24"/>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06"/>
              <w:gridCol w:w="506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 w:hRule="atLeast"/>
                <w:jc w:val="center"/>
              </w:trPr>
              <w:tc>
                <w:tcPr>
                  <w:tcW w:w="1206" w:type="dxa"/>
                </w:tcPr>
                <w:p>
                  <w:pPr>
                    <w:spacing w:before="40" w:after="40" w:line="312" w:lineRule="auto"/>
                    <w:rPr>
                      <w:sz w:val="21"/>
                      <w:szCs w:val="21"/>
                    </w:rPr>
                  </w:pPr>
                  <w:r>
                    <w:rPr>
                      <w:sz w:val="21"/>
                      <w:szCs w:val="21"/>
                    </w:rPr>
                    <w:t>ITT 25.1</w:t>
                  </w:r>
                </w:p>
              </w:tc>
              <w:tc>
                <w:tcPr>
                  <w:tcW w:w="5065" w:type="dxa"/>
                  <w:vAlign w:val="top"/>
                </w:tcPr>
                <w:p>
                  <w:pPr>
                    <w:tabs>
                      <w:tab w:val="right" w:pos="4860"/>
                    </w:tabs>
                    <w:spacing w:before="120" w:after="120" w:line="312" w:lineRule="auto"/>
                    <w:rPr>
                      <w:sz w:val="21"/>
                      <w:szCs w:val="21"/>
                    </w:rPr>
                  </w:pPr>
                  <w:r>
                    <w:rPr>
                      <w:sz w:val="21"/>
                      <w:szCs w:val="21"/>
                    </w:rPr>
                    <w:t xml:space="preserve">On-line Tender opening shall take place at: </w:t>
                  </w:r>
                </w:p>
                <w:p>
                  <w:pPr>
                    <w:spacing w:before="120" w:after="120" w:line="312" w:lineRule="auto"/>
                    <w:ind w:left="645" w:hanging="645"/>
                    <w:rPr>
                      <w:sz w:val="21"/>
                      <w:szCs w:val="21"/>
                    </w:rPr>
                  </w:pPr>
                  <w:r>
                    <w:rPr>
                      <w:sz w:val="21"/>
                      <w:szCs w:val="21"/>
                    </w:rPr>
                    <w:t>O/o Executive Director, TNRIDC</w:t>
                  </w:r>
                </w:p>
                <w:p>
                  <w:pPr>
                    <w:spacing w:before="120" w:after="120" w:line="312" w:lineRule="auto"/>
                    <w:ind w:left="645" w:hanging="645"/>
                    <w:rPr>
                      <w:sz w:val="21"/>
                      <w:szCs w:val="21"/>
                    </w:rPr>
                  </w:pPr>
                  <w:r>
                    <w:rPr>
                      <w:sz w:val="21"/>
                      <w:szCs w:val="21"/>
                    </w:rPr>
                    <w:t>Street Address: No.735, Anna Salai</w:t>
                  </w:r>
                </w:p>
                <w:p>
                  <w:pPr>
                    <w:spacing w:before="120" w:after="120" w:line="312" w:lineRule="auto"/>
                    <w:ind w:left="705" w:hanging="705"/>
                    <w:rPr>
                      <w:sz w:val="21"/>
                      <w:szCs w:val="21"/>
                    </w:rPr>
                  </w:pPr>
                  <w:r>
                    <w:rPr>
                      <w:sz w:val="21"/>
                      <w:szCs w:val="21"/>
                    </w:rPr>
                    <w:t>Floor/ Room number: 4</w:t>
                  </w:r>
                  <w:r>
                    <w:rPr>
                      <w:sz w:val="21"/>
                      <w:szCs w:val="21"/>
                      <w:vertAlign w:val="superscript"/>
                    </w:rPr>
                    <w:t>th</w:t>
                  </w:r>
                  <w:r>
                    <w:rPr>
                      <w:sz w:val="21"/>
                      <w:szCs w:val="21"/>
                    </w:rPr>
                    <w:t xml:space="preserve"> Floor, L.L.A Building</w:t>
                  </w:r>
                </w:p>
                <w:p>
                  <w:pPr>
                    <w:spacing w:before="120" w:after="120" w:line="312" w:lineRule="auto"/>
                    <w:rPr>
                      <w:sz w:val="21"/>
                      <w:szCs w:val="21"/>
                    </w:rPr>
                  </w:pPr>
                  <w:r>
                    <w:rPr>
                      <w:sz w:val="21"/>
                      <w:szCs w:val="21"/>
                    </w:rPr>
                    <w:t>City: Chennai, Tamil Nadu</w:t>
                  </w:r>
                </w:p>
                <w:p>
                  <w:pPr>
                    <w:pStyle w:val="7"/>
                    <w:spacing w:before="120" w:line="312" w:lineRule="auto"/>
                    <w:ind w:right="-48"/>
                    <w:rPr>
                      <w:sz w:val="21"/>
                      <w:szCs w:val="21"/>
                    </w:rPr>
                  </w:pPr>
                  <w:r>
                    <w:rPr>
                      <w:sz w:val="21"/>
                      <w:szCs w:val="21"/>
                    </w:rPr>
                    <w:t>Country: India</w:t>
                  </w:r>
                </w:p>
                <w:p>
                  <w:pPr>
                    <w:spacing w:before="40" w:after="40" w:line="312" w:lineRule="auto"/>
                    <w:jc w:val="both"/>
                    <w:rPr>
                      <w:sz w:val="21"/>
                      <w:szCs w:val="21"/>
                    </w:rPr>
                  </w:pPr>
                  <w:r>
                    <w:rPr>
                      <w:b/>
                      <w:sz w:val="21"/>
                      <w:szCs w:val="21"/>
                    </w:rPr>
                    <w:t xml:space="preserve">Date : 19.01.2022; </w:t>
                  </w:r>
                  <w:r>
                    <w:rPr>
                      <w:b/>
                      <w:i/>
                      <w:sz w:val="21"/>
                      <w:szCs w:val="21"/>
                    </w:rPr>
                    <w:t xml:space="preserve"> </w:t>
                  </w:r>
                  <w:r>
                    <w:rPr>
                      <w:b/>
                      <w:sz w:val="21"/>
                      <w:szCs w:val="21"/>
                    </w:rPr>
                    <w:t>Time: 11.30</w:t>
                  </w:r>
                  <w:r>
                    <w:rPr>
                      <w:b/>
                      <w:i/>
                      <w:sz w:val="21"/>
                      <w:szCs w:val="21"/>
                    </w:rPr>
                    <w:t xml:space="preserve"> </w:t>
                  </w:r>
                  <w:r>
                    <w:rPr>
                      <w:b/>
                      <w:iCs/>
                      <w:sz w:val="21"/>
                      <w:szCs w:val="21"/>
                    </w:rPr>
                    <w:t>Hrs (IST)</w:t>
                  </w:r>
                  <w:r>
                    <w:rPr>
                      <w:i/>
                      <w:sz w:val="21"/>
                      <w:szCs w:val="21"/>
                    </w:rPr>
                    <w:t>.</w:t>
                  </w:r>
                </w:p>
              </w:tc>
            </w:tr>
          </w:tbl>
          <w:p>
            <w:pPr>
              <w:spacing w:before="40" w:after="40" w:line="276" w:lineRule="auto"/>
              <w:jc w:val="center"/>
              <w:rPr>
                <w:sz w:val="21"/>
                <w:szCs w:val="21"/>
              </w:rPr>
            </w:pPr>
          </w:p>
        </w:tc>
        <w:tc>
          <w:tcPr>
            <w:tcW w:w="2182" w:type="pct"/>
            <w:tcBorders>
              <w:top w:val="single" w:color="auto" w:sz="4" w:space="0"/>
              <w:bottom w:val="single" w:color="auto" w:sz="4" w:space="0"/>
            </w:tcBorders>
            <w:shd w:val="clear" w:color="auto" w:fill="auto"/>
          </w:tcPr>
          <w:p>
            <w:pPr>
              <w:spacing w:before="40" w:after="40" w:line="276" w:lineRule="auto"/>
              <w:jc w:val="center"/>
              <w:rPr>
                <w:b/>
                <w:bCs/>
                <w:sz w:val="21"/>
                <w:szCs w:val="21"/>
                <w:highlight w:val="yellow"/>
              </w:rPr>
            </w:pPr>
          </w:p>
          <w:tbl>
            <w:tblPr>
              <w:tblStyle w:val="24"/>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06"/>
              <w:gridCol w:w="477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2" w:hRule="atLeast"/>
                <w:jc w:val="center"/>
              </w:trPr>
              <w:tc>
                <w:tcPr>
                  <w:tcW w:w="1206" w:type="dxa"/>
                </w:tcPr>
                <w:p>
                  <w:pPr>
                    <w:spacing w:before="40" w:after="40" w:line="312" w:lineRule="auto"/>
                    <w:rPr>
                      <w:sz w:val="21"/>
                      <w:szCs w:val="21"/>
                    </w:rPr>
                  </w:pPr>
                  <w:r>
                    <w:rPr>
                      <w:sz w:val="21"/>
                      <w:szCs w:val="21"/>
                    </w:rPr>
                    <w:t>ITT 25.1</w:t>
                  </w:r>
                </w:p>
              </w:tc>
              <w:tc>
                <w:tcPr>
                  <w:tcW w:w="4779" w:type="dxa"/>
                </w:tcPr>
                <w:p>
                  <w:pPr>
                    <w:tabs>
                      <w:tab w:val="right" w:pos="4860"/>
                    </w:tabs>
                    <w:spacing w:before="120" w:after="120" w:line="312" w:lineRule="auto"/>
                    <w:rPr>
                      <w:sz w:val="21"/>
                      <w:szCs w:val="21"/>
                    </w:rPr>
                  </w:pPr>
                  <w:r>
                    <w:rPr>
                      <w:sz w:val="21"/>
                      <w:szCs w:val="21"/>
                    </w:rPr>
                    <w:t xml:space="preserve">On-line Tender opening shall take place at: </w:t>
                  </w:r>
                </w:p>
                <w:p>
                  <w:pPr>
                    <w:spacing w:before="120" w:after="120" w:line="312" w:lineRule="auto"/>
                    <w:ind w:left="645" w:hanging="645"/>
                    <w:rPr>
                      <w:sz w:val="21"/>
                      <w:szCs w:val="21"/>
                    </w:rPr>
                  </w:pPr>
                  <w:r>
                    <w:rPr>
                      <w:sz w:val="21"/>
                      <w:szCs w:val="21"/>
                    </w:rPr>
                    <w:t>O/o Executive Director, TNRIDC</w:t>
                  </w:r>
                </w:p>
                <w:p>
                  <w:pPr>
                    <w:spacing w:before="120" w:after="120" w:line="312" w:lineRule="auto"/>
                    <w:ind w:left="645" w:hanging="645"/>
                    <w:rPr>
                      <w:sz w:val="21"/>
                      <w:szCs w:val="21"/>
                    </w:rPr>
                  </w:pPr>
                  <w:r>
                    <w:rPr>
                      <w:sz w:val="21"/>
                      <w:szCs w:val="21"/>
                    </w:rPr>
                    <w:t>Street Address: No.735, Anna Salai</w:t>
                  </w:r>
                </w:p>
                <w:p>
                  <w:pPr>
                    <w:spacing w:before="120" w:after="120" w:line="312" w:lineRule="auto"/>
                    <w:ind w:left="705" w:hanging="705"/>
                    <w:rPr>
                      <w:sz w:val="21"/>
                      <w:szCs w:val="21"/>
                    </w:rPr>
                  </w:pPr>
                  <w:r>
                    <w:rPr>
                      <w:sz w:val="21"/>
                      <w:szCs w:val="21"/>
                    </w:rPr>
                    <w:t>Floor/ Room number: 4</w:t>
                  </w:r>
                  <w:r>
                    <w:rPr>
                      <w:sz w:val="21"/>
                      <w:szCs w:val="21"/>
                      <w:vertAlign w:val="superscript"/>
                    </w:rPr>
                    <w:t>th</w:t>
                  </w:r>
                  <w:r>
                    <w:rPr>
                      <w:sz w:val="21"/>
                      <w:szCs w:val="21"/>
                    </w:rPr>
                    <w:t xml:space="preserve"> Floor, L.L.A Building</w:t>
                  </w:r>
                </w:p>
                <w:p>
                  <w:pPr>
                    <w:spacing w:before="120" w:after="120" w:line="312" w:lineRule="auto"/>
                    <w:rPr>
                      <w:sz w:val="21"/>
                      <w:szCs w:val="21"/>
                    </w:rPr>
                  </w:pPr>
                  <w:r>
                    <w:rPr>
                      <w:sz w:val="21"/>
                      <w:szCs w:val="21"/>
                    </w:rPr>
                    <w:t>City: Chennai, Tamil Nadu</w:t>
                  </w:r>
                </w:p>
                <w:p>
                  <w:pPr>
                    <w:pStyle w:val="7"/>
                    <w:spacing w:before="120" w:line="312" w:lineRule="auto"/>
                    <w:ind w:right="-48"/>
                    <w:rPr>
                      <w:sz w:val="21"/>
                      <w:szCs w:val="21"/>
                    </w:rPr>
                  </w:pPr>
                  <w:r>
                    <w:rPr>
                      <w:sz w:val="21"/>
                      <w:szCs w:val="21"/>
                    </w:rPr>
                    <w:t>Country: India</w:t>
                  </w:r>
                </w:p>
                <w:p>
                  <w:pPr>
                    <w:spacing w:before="40" w:after="40" w:line="312" w:lineRule="auto"/>
                    <w:jc w:val="both"/>
                    <w:rPr>
                      <w:sz w:val="21"/>
                      <w:szCs w:val="21"/>
                    </w:rPr>
                  </w:pPr>
                  <w:r>
                    <w:rPr>
                      <w:b/>
                      <w:sz w:val="21"/>
                      <w:szCs w:val="21"/>
                    </w:rPr>
                    <w:t xml:space="preserve">Date : </w:t>
                  </w:r>
                  <w:r>
                    <w:rPr>
                      <w:rFonts w:hint="default"/>
                      <w:b/>
                      <w:bCs w:val="0"/>
                      <w:sz w:val="21"/>
                      <w:szCs w:val="21"/>
                      <w:lang w:val="en-US"/>
                    </w:rPr>
                    <w:t>03</w:t>
                  </w:r>
                  <w:r>
                    <w:rPr>
                      <w:b/>
                      <w:bCs w:val="0"/>
                      <w:sz w:val="21"/>
                      <w:szCs w:val="21"/>
                    </w:rPr>
                    <w:t>.0</w:t>
                  </w:r>
                  <w:r>
                    <w:rPr>
                      <w:rFonts w:hint="default"/>
                      <w:b/>
                      <w:bCs w:val="0"/>
                      <w:sz w:val="21"/>
                      <w:szCs w:val="21"/>
                      <w:lang w:val="en-US"/>
                    </w:rPr>
                    <w:t>2</w:t>
                  </w:r>
                  <w:r>
                    <w:rPr>
                      <w:b/>
                      <w:bCs w:val="0"/>
                      <w:sz w:val="21"/>
                      <w:szCs w:val="21"/>
                    </w:rPr>
                    <w:t>.2</w:t>
                  </w:r>
                  <w:r>
                    <w:rPr>
                      <w:b/>
                      <w:sz w:val="21"/>
                      <w:szCs w:val="21"/>
                    </w:rPr>
                    <w:t xml:space="preserve">022; </w:t>
                  </w:r>
                  <w:r>
                    <w:rPr>
                      <w:b/>
                      <w:i/>
                      <w:sz w:val="21"/>
                      <w:szCs w:val="21"/>
                    </w:rPr>
                    <w:t xml:space="preserve"> </w:t>
                  </w:r>
                  <w:r>
                    <w:rPr>
                      <w:b/>
                      <w:sz w:val="21"/>
                      <w:szCs w:val="21"/>
                    </w:rPr>
                    <w:t>Time: 11.30</w:t>
                  </w:r>
                  <w:r>
                    <w:rPr>
                      <w:b/>
                      <w:i/>
                      <w:sz w:val="21"/>
                      <w:szCs w:val="21"/>
                    </w:rPr>
                    <w:t xml:space="preserve"> </w:t>
                  </w:r>
                  <w:r>
                    <w:rPr>
                      <w:b/>
                      <w:iCs/>
                      <w:sz w:val="21"/>
                      <w:szCs w:val="21"/>
                    </w:rPr>
                    <w:t>Hrs (IST)</w:t>
                  </w:r>
                  <w:r>
                    <w:rPr>
                      <w:i/>
                      <w:sz w:val="21"/>
                      <w:szCs w:val="21"/>
                    </w:rPr>
                    <w:t>.</w:t>
                  </w:r>
                </w:p>
              </w:tc>
            </w:tr>
          </w:tbl>
          <w:p>
            <w:pPr>
              <w:spacing w:before="40" w:after="40" w:line="276" w:lineRule="auto"/>
              <w:jc w:val="center"/>
              <w:rPr>
                <w:b/>
                <w:bCs/>
                <w:sz w:val="21"/>
                <w:szCs w:val="21"/>
                <w:highlight w:val="yellow"/>
              </w:rPr>
            </w:pPr>
          </w:p>
        </w:tc>
      </w:tr>
    </w:tbl>
    <w:p>
      <w:pPr>
        <w:jc w:val="center"/>
        <w:rPr>
          <w:b/>
          <w:color w:val="000000" w:themeColor="text1"/>
          <w14:textFill>
            <w14:solidFill>
              <w14:schemeClr w14:val="tx1"/>
            </w14:solidFill>
          </w14:textFill>
        </w:rPr>
      </w:pPr>
      <w:r>
        <w:rPr>
          <w:b/>
          <w:color w:val="000000" w:themeColor="text1"/>
          <w14:textFill>
            <w14:solidFill>
              <w14:schemeClr w14:val="tx1"/>
            </w14:solidFill>
          </w14:textFill>
        </w:rPr>
        <w:tab/>
      </w:r>
      <w:r>
        <w:rPr>
          <w:b/>
          <w:color w:val="000000" w:themeColor="text1"/>
          <w14:textFill>
            <w14:solidFill>
              <w14:schemeClr w14:val="tx1"/>
            </w14:solidFill>
          </w14:textFill>
        </w:rPr>
        <w:tab/>
      </w:r>
      <w:r>
        <w:rPr>
          <w:b/>
          <w:color w:val="000000" w:themeColor="text1"/>
          <w14:textFill>
            <w14:solidFill>
              <w14:schemeClr w14:val="tx1"/>
            </w14:solidFill>
          </w14:textFill>
        </w:rPr>
        <w:tab/>
      </w:r>
      <w:r>
        <w:rPr>
          <w:b/>
          <w:color w:val="000000" w:themeColor="text1"/>
          <w14:textFill>
            <w14:solidFill>
              <w14:schemeClr w14:val="tx1"/>
            </w14:solidFill>
          </w14:textFill>
        </w:rPr>
        <w:tab/>
      </w:r>
      <w:r>
        <w:rPr>
          <w:b/>
          <w:color w:val="000000" w:themeColor="text1"/>
          <w14:textFill>
            <w14:solidFill>
              <w14:schemeClr w14:val="tx1"/>
            </w14:solidFill>
          </w14:textFill>
        </w:rPr>
        <w:tab/>
      </w:r>
      <w:r>
        <w:rPr>
          <w:b/>
          <w:color w:val="000000" w:themeColor="text1"/>
          <w14:textFill>
            <w14:solidFill>
              <w14:schemeClr w14:val="tx1"/>
            </w14:solidFill>
          </w14:textFill>
        </w:rPr>
        <w:tab/>
      </w:r>
      <w:r>
        <w:rPr>
          <w:b/>
          <w:color w:val="000000" w:themeColor="text1"/>
          <w14:textFill>
            <w14:solidFill>
              <w14:schemeClr w14:val="tx1"/>
            </w14:solidFill>
          </w14:textFill>
        </w:rPr>
        <w:tab/>
      </w:r>
      <w:r>
        <w:rPr>
          <w:b/>
          <w:color w:val="000000" w:themeColor="text1"/>
          <w14:textFill>
            <w14:solidFill>
              <w14:schemeClr w14:val="tx1"/>
            </w14:solidFill>
          </w14:textFill>
        </w:rPr>
        <w:tab/>
      </w:r>
      <w:r>
        <w:rPr>
          <w:b/>
          <w:color w:val="000000" w:themeColor="text1"/>
          <w14:textFill>
            <w14:solidFill>
              <w14:schemeClr w14:val="tx1"/>
            </w14:solidFill>
          </w14:textFill>
        </w:rPr>
        <w:tab/>
      </w:r>
      <w:r>
        <w:rPr>
          <w:b/>
          <w:color w:val="000000" w:themeColor="text1"/>
          <w14:textFill>
            <w14:solidFill>
              <w14:schemeClr w14:val="tx1"/>
            </w14:solidFill>
          </w14:textFill>
        </w:rPr>
        <w:tab/>
      </w:r>
      <w:r>
        <w:rPr>
          <w:b/>
          <w:color w:val="000000" w:themeColor="text1"/>
          <w14:textFill>
            <w14:solidFill>
              <w14:schemeClr w14:val="tx1"/>
            </w14:solidFill>
          </w14:textFill>
        </w:rPr>
        <w:tab/>
      </w:r>
      <w:r>
        <w:rPr>
          <w:b/>
          <w:color w:val="000000" w:themeColor="text1"/>
          <w14:textFill>
            <w14:solidFill>
              <w14:schemeClr w14:val="tx1"/>
            </w14:solidFill>
          </w14:textFill>
        </w:rPr>
        <w:tab/>
      </w:r>
    </w:p>
    <w:p>
      <w:pPr>
        <w:jc w:val="center"/>
        <w:rPr>
          <w:b/>
          <w:color w:val="000000" w:themeColor="text1"/>
          <w14:textFill>
            <w14:solidFill>
              <w14:schemeClr w14:val="tx1"/>
            </w14:solidFill>
          </w14:textFill>
        </w:rPr>
      </w:pPr>
    </w:p>
    <w:p>
      <w:pPr>
        <w:jc w:val="right"/>
        <w:rPr>
          <w:color w:val="000000" w:themeColor="text1"/>
          <w:sz w:val="22"/>
          <w:szCs w:val="21"/>
          <w14:textFill>
            <w14:solidFill>
              <w14:schemeClr w14:val="tx1"/>
            </w14:solidFill>
          </w14:textFill>
        </w:rPr>
      </w:pPr>
      <w:r>
        <w:rPr>
          <w:b/>
          <w:sz w:val="22"/>
          <w:szCs w:val="21"/>
        </w:rPr>
        <w:t xml:space="preserve">                                                           </w:t>
      </w:r>
      <w:r>
        <w:rPr>
          <w:sz w:val="22"/>
          <w:szCs w:val="21"/>
        </w:rPr>
        <w:t>Sd/---</w:t>
      </w:r>
      <w:r>
        <w:rPr>
          <w:color w:val="000000" w:themeColor="text1"/>
          <w:sz w:val="22"/>
          <w:szCs w:val="21"/>
          <w14:textFill>
            <w14:solidFill>
              <w14:schemeClr w14:val="tx1"/>
            </w14:solidFill>
          </w14:textFill>
        </w:rPr>
        <w:tab/>
      </w:r>
    </w:p>
    <w:p>
      <w:pPr>
        <w:jc w:val="right"/>
        <w:rPr>
          <w:b/>
          <w:color w:val="000000" w:themeColor="text1"/>
          <w:sz w:val="22"/>
          <w:szCs w:val="21"/>
          <w14:textFill>
            <w14:solidFill>
              <w14:schemeClr w14:val="tx1"/>
            </w14:solidFill>
          </w14:textFill>
        </w:rPr>
      </w:pPr>
      <w:r>
        <w:rPr>
          <w:b/>
          <w:color w:val="000000" w:themeColor="text1"/>
          <w:sz w:val="22"/>
          <w:szCs w:val="21"/>
          <w14:textFill>
            <w14:solidFill>
              <w14:schemeClr w14:val="tx1"/>
            </w14:solidFill>
          </w14:textFill>
        </w:rPr>
        <w:t>Executive Director (FAC),</w:t>
      </w:r>
    </w:p>
    <w:p>
      <w:pPr>
        <w:jc w:val="right"/>
        <w:rPr>
          <w:b/>
          <w:color w:val="000000" w:themeColor="text1"/>
          <w:sz w:val="28"/>
          <w:szCs w:val="26"/>
          <w14:textFill>
            <w14:solidFill>
              <w14:schemeClr w14:val="tx1"/>
            </w14:solidFill>
          </w14:textFill>
        </w:rPr>
      </w:pPr>
      <w:r>
        <w:rPr>
          <w:b/>
          <w:color w:val="000000" w:themeColor="text1"/>
          <w:sz w:val="22"/>
          <w:szCs w:val="21"/>
          <w14:textFill>
            <w14:solidFill>
              <w14:schemeClr w14:val="tx1"/>
            </w14:solidFill>
          </w14:textFill>
        </w:rPr>
        <w:t>TNRIDC</w:t>
      </w:r>
    </w:p>
    <w:sectPr>
      <w:headerReference r:id="rId7" w:type="first"/>
      <w:footerReference r:id="rId10" w:type="first"/>
      <w:headerReference r:id="rId5" w:type="default"/>
      <w:footerReference r:id="rId8" w:type="default"/>
      <w:headerReference r:id="rId6" w:type="even"/>
      <w:footerReference r:id="rId9" w:type="even"/>
      <w:pgSz w:w="16839" w:h="11907" w:orient="landscape"/>
      <w:pgMar w:top="709" w:right="1440" w:bottom="851" w:left="1440" w:header="136" w:footer="227" w:gutter="0"/>
      <w:pgNumType w:start="1"/>
      <w:cols w:space="720" w:num="1"/>
      <w:titlePg/>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imes New Roman Bold">
    <w:altName w:val="Times New Roman"/>
    <w:panose1 w:val="02020803070505020304"/>
    <w:charset w:val="00"/>
    <w:family w:val="roman"/>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Arial Narrow">
    <w:altName w:val="Arial"/>
    <w:panose1 w:val="020B0606020202030204"/>
    <w:charset w:val="00"/>
    <w:family w:val="swiss"/>
    <w:pitch w:val="default"/>
    <w:sig w:usb0="00000000" w:usb1="00000000" w:usb2="00000000" w:usb3="00000000" w:csb0="0000009F"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Symbol">
    <w:panose1 w:val="05050102010706020507"/>
    <w:charset w:val="02"/>
    <w:family w:val="roman"/>
    <w:pitch w:val="default"/>
    <w:sig w:usb0="00000000" w:usb1="00000000" w:usb2="00000000" w:usb3="00000000" w:csb0="80000000" w:csb1="00000000"/>
  </w:font>
  <w:font w:name="Courier">
    <w:altName w:val="Courier New"/>
    <w:panose1 w:val="02070409020205020404"/>
    <w:charset w:val="00"/>
    <w:family w:val="moder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70099089"/>
      <w:docPartObj>
        <w:docPartGallery w:val="autotext"/>
      </w:docPartObj>
    </w:sdtPr>
    <w:sdtContent>
      <w:sdt>
        <w:sdtPr>
          <w:id w:val="269519872"/>
          <w:docPartObj>
            <w:docPartGallery w:val="autotext"/>
          </w:docPartObj>
        </w:sdtPr>
        <w:sdtContent>
          <w:p>
            <w:pPr>
              <w:pStyle w:val="16"/>
              <w:jc w:val="center"/>
            </w:pPr>
            <w:r>
              <w:t xml:space="preserve">Page </w:t>
            </w:r>
            <w:r>
              <w:rPr>
                <w:b/>
                <w:sz w:val="24"/>
                <w:szCs w:val="24"/>
              </w:rPr>
              <w:fldChar w:fldCharType="begin"/>
            </w:r>
            <w:r>
              <w:rPr>
                <w:b/>
              </w:rPr>
              <w:instrText xml:space="preserve"> PAGE </w:instrText>
            </w:r>
            <w:r>
              <w:rPr>
                <w:b/>
                <w:sz w:val="24"/>
                <w:szCs w:val="24"/>
              </w:rPr>
              <w:fldChar w:fldCharType="separate"/>
            </w:r>
            <w:r>
              <w:rPr>
                <w:b/>
              </w:rPr>
              <w:t>12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rPr>
              <w:t>12</w:t>
            </w:r>
            <w:r>
              <w:rPr>
                <w:b/>
                <w:sz w:val="24"/>
                <w:szCs w:val="24"/>
              </w:rPr>
              <w:fldChar w:fldCharType="end"/>
            </w:r>
          </w:p>
        </w:sdtContent>
      </w:sdt>
    </w:sdtContent>
  </w:sdt>
  <w:p>
    <w:pPr>
      <w:tabs>
        <w:tab w:val="center" w:pos="4680"/>
        <w:tab w:val="right" w:pos="9360"/>
      </w:tabs>
      <w:suppressAutoHyphens/>
      <w:jc w:val="right"/>
      <w:rPr>
        <w:rFonts w:ascii="Courier" w:hAnsi="Courier"/>
        <w:spacing w:val="-2"/>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Pr>
      <w:t>80</w:t>
    </w:r>
    <w:r>
      <w:rPr>
        <w:rStyle w:val="23"/>
      </w:rPr>
      <w:fldChar w:fldCharType="end"/>
    </w:r>
  </w:p>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2877454"/>
      <w:docPartObj>
        <w:docPartGallery w:val="autotext"/>
      </w:docPartObj>
    </w:sdtPr>
    <w:sdtContent>
      <w:sdt>
        <w:sdtPr>
          <w:id w:val="213470679"/>
          <w:docPartObj>
            <w:docPartGallery w:val="autotext"/>
          </w:docPartObj>
        </w:sdtPr>
        <w:sdtContent>
          <w:p>
            <w:pPr>
              <w:pStyle w:val="16"/>
              <w:jc w:val="center"/>
            </w:pPr>
            <w:r>
              <w:t xml:space="preserve">Page </w:t>
            </w:r>
            <w:r>
              <w:rPr>
                <w:b/>
                <w:sz w:val="24"/>
                <w:szCs w:val="24"/>
              </w:rPr>
              <w:fldChar w:fldCharType="begin"/>
            </w:r>
            <w:r>
              <w:rPr>
                <w:b/>
              </w:rPr>
              <w:instrText xml:space="preserve"> PAGE </w:instrText>
            </w:r>
            <w:r>
              <w:rPr>
                <w:b/>
                <w:sz w:val="24"/>
                <w:szCs w:val="24"/>
              </w:rPr>
              <w:fldChar w:fldCharType="separate"/>
            </w:r>
            <w:r>
              <w:rPr>
                <w:b/>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rPr>
              <w:t>12</w:t>
            </w:r>
            <w:r>
              <w:rPr>
                <w:b/>
                <w:sz w:val="24"/>
                <w:szCs w:val="24"/>
              </w:rPr>
              <w:fldChar w:fldCharType="end"/>
            </w:r>
          </w:p>
        </w:sdtContent>
      </w:sdt>
    </w:sdtContent>
  </w:sdt>
  <w:p>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140" w:line="100" w:lineRule="exact"/>
      <w:rPr>
        <w:sz w:val="10"/>
      </w:rPr>
    </w:pPr>
    <w:r>
      <w:rPr>
        <w:lang w:val="en-IN" w:eastAsia="en-IN"/>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190500</wp:posOffset>
              </wp:positionV>
              <wp:extent cx="10692765" cy="273050"/>
              <wp:effectExtent l="0" t="0" r="0" b="12700"/>
              <wp:wrapNone/>
              <wp:docPr id="3" name="MSIPCMeab440a9a031e30627b5fe24" descr="{&quot;HashCode&quot;:1605846831,&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a:spLocks noChangeArrowheads="1"/>
                    </wps:cNvSpPr>
                    <wps:spPr>
                      <a:xfrm>
                        <a:off x="0" y="0"/>
                        <a:ext cx="10692765" cy="273050"/>
                      </a:xfrm>
                      <a:prstGeom prst="rect">
                        <a:avLst/>
                      </a:prstGeom>
                      <a:noFill/>
                      <a:ln w="6350">
                        <a:noFill/>
                      </a:ln>
                    </wps:spPr>
                    <wps:txbx>
                      <w:txbxContent>
                        <w:p/>
                      </w:txbxContent>
                    </wps:txbx>
                    <wps:bodyPr rot="0" spcFirstLastPara="0" vertOverflow="overflow" horzOverflow="overflow" vert="horz" wrap="square" lIns="91440" tIns="0" rIns="254000" bIns="0" numCol="1" spcCol="0" rtlCol="0" fromWordArt="0" anchor="t" anchorCtr="0" forceAA="0" compatLnSpc="1">
                      <a:noAutofit/>
                    </wps:bodyPr>
                  </wps:wsp>
                </a:graphicData>
              </a:graphic>
            </wp:anchor>
          </w:drawing>
        </mc:Choice>
        <mc:Fallback>
          <w:pict>
            <v:shape id="MSIPCMeab440a9a031e30627b5fe24" o:spid="_x0000_s1026" o:spt="202" alt="{&quot;HashCode&quot;:1605846831,&quot;Height&quot;:595.0,&quot;Width&quot;:841.0,&quot;Placement&quot;:&quot;Header&quot;,&quot;Index&quot;:&quot;Primary&quot;,&quot;Section&quot;:1,&quot;Top&quot;:0.0,&quot;Left&quot;:0.0}" type="#_x0000_t202" style="position:absolute;left:0pt;margin-left:0pt;margin-top:15pt;height:21.5pt;width:841.95pt;mso-position-horizontal-relative:page;mso-position-vertical-relative:page;z-index:251660288;mso-width-relative:page;mso-height-relative:page;" filled="f" stroked="f" coordsize="21600,21600" o:allowincell="f" o:gfxdata="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">
              <v:fill on="f" focussize="0,0"/>
              <v:stroke on="f" weight="0.5pt"/>
              <v:imagedata o:title=""/>
              <o:lock v:ext="edit" aspectratio="f"/>
              <v:textbox inset="2.54mm,0mm,20pt,0mm">
                <w:txbxContent>
                  <w:p/>
                </w:txbxContent>
              </v:textbox>
            </v:shape>
          </w:pict>
        </mc:Fallback>
      </mc:AlternateContent>
    </w:r>
    <w:r>
      <w:rPr>
        <w:lang w:val="en-IN" w:eastAsia="en-IN"/>
      </w:rPr>
      <mc:AlternateContent>
        <mc:Choice Requires="wps">
          <w:drawing>
            <wp:anchor distT="0" distB="0" distL="114300" distR="114300" simplePos="0" relativeHeight="251659264" behindDoc="0" locked="0" layoutInCell="0" allowOverlap="1">
              <wp:simplePos x="0" y="0"/>
              <wp:positionH relativeFrom="page">
                <wp:posOffset>914400</wp:posOffset>
              </wp:positionH>
              <wp:positionV relativeFrom="paragraph">
                <wp:posOffset>-274320</wp:posOffset>
              </wp:positionV>
              <wp:extent cx="5943600" cy="274955"/>
              <wp:effectExtent l="0" t="0" r="0" b="10795"/>
              <wp:wrapNone/>
              <wp:docPr id="2" name="Rectangle 1"/>
              <wp:cNvGraphicFramePr/>
              <a:graphic xmlns:a="http://schemas.openxmlformats.org/drawingml/2006/main">
                <a:graphicData uri="http://schemas.microsoft.com/office/word/2010/wordprocessingShape">
                  <wps:wsp>
                    <wps:cNvSpPr>
                      <a:spLocks noChangeArrowheads="1"/>
                    </wps:cNvSpPr>
                    <wps:spPr bwMode="auto">
                      <a:xfrm>
                        <a:off x="0" y="0"/>
                        <a:ext cx="5943600" cy="274955"/>
                      </a:xfrm>
                      <a:prstGeom prst="rect">
                        <a:avLst/>
                      </a:prstGeom>
                      <a:noFill/>
                      <a:ln>
                        <a:noFill/>
                      </a:ln>
                      <a:effectLst/>
                    </wps:spPr>
                    <wps:txbx>
                      <w:txbxContent>
                        <w:p/>
                      </w:txbxContent>
                    </wps:txbx>
                    <wps:bodyPr rot="0" vert="horz" wrap="square" lIns="0" tIns="0" rIns="0" bIns="0" anchor="t" anchorCtr="0" upright="1">
                      <a:noAutofit/>
                    </wps:bodyPr>
                  </wps:wsp>
                </a:graphicData>
              </a:graphic>
            </wp:anchor>
          </w:drawing>
        </mc:Choice>
        <mc:Fallback>
          <w:pict>
            <v:rect id="Rectangle 1" o:spid="_x0000_s1026" o:spt="1" style="position:absolute;left:0pt;margin-left:72pt;margin-top:-21.6pt;height:21.65pt;width:468pt;mso-position-horizontal-relative:page;z-index:251659264;mso-width-relative:page;mso-height-relative:page;" filled="f" stroked="f" coordsize="21600,21600" o:allowincell="f" o:gfxdata="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wuexg2AAAAAkBAAAPAAAAAAAAAAEAIAAAACIAAABkcnMvZG93bnJl&#10;di54bWxQSwECFAAUAAAACACHTuJA0NBQJ/0BAAAJBAAADgAAAAAAAAABACAAAAAnAQAAZHJzL2Uy&#10;b0RvYy54bWxQSwUGAAAAAAYABgBZAQAAlgUAAAAA&#10;">
              <v:fill on="f" focussize="0,0"/>
              <v:stroke on="f"/>
              <v:imagedata o:title=""/>
              <o:lock v:ext="edit" aspectratio="f"/>
              <v:textbox inset="0mm,0mm,0mm,0mm">
                <w:txbxContent>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Pr>
      <w:t>80</w:t>
    </w:r>
    <w:r>
      <w:rPr>
        <w:rStyle w:val="23"/>
      </w:rPr>
      <w:fldChar w:fldCharType="end"/>
    </w:r>
  </w:p>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lang w:val="en-IN" w:eastAsia="en-IN"/>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190500</wp:posOffset>
              </wp:positionV>
              <wp:extent cx="10692765" cy="273050"/>
              <wp:effectExtent l="0" t="0" r="0" b="12700"/>
              <wp:wrapNone/>
              <wp:docPr id="1" name="MSIPCM042b470da40d02d6f1e42886" descr="{&quot;HashCode&quot;:1605846831,&quot;Height&quot;:595.0,&quot;Width&quot;:841.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a:spLocks noChangeArrowheads="1"/>
                    </wps:cNvSpPr>
                    <wps:spPr>
                      <a:xfrm>
                        <a:off x="0" y="0"/>
                        <a:ext cx="10692765" cy="273050"/>
                      </a:xfrm>
                      <a:prstGeom prst="rect">
                        <a:avLst/>
                      </a:prstGeom>
                      <a:noFill/>
                      <a:ln w="6350">
                        <a:noFill/>
                      </a:ln>
                    </wps:spPr>
                    <wps:txbx>
                      <w:txbxContent>
                        <w:p>
                          <w:pPr>
                            <w:rPr>
                              <w:lang w:val="en-IN"/>
                            </w:rPr>
                          </w:pPr>
                        </w:p>
                      </w:txbxContent>
                    </wps:txbx>
                    <wps:bodyPr rot="0" spcFirstLastPara="0" vertOverflow="overflow" horzOverflow="overflow" vert="horz" wrap="square" lIns="91440" tIns="0" rIns="254000" bIns="0" numCol="1" spcCol="0" rtlCol="0" fromWordArt="0" anchor="t" anchorCtr="0" forceAA="0" compatLnSpc="1">
                      <a:noAutofit/>
                    </wps:bodyPr>
                  </wps:wsp>
                </a:graphicData>
              </a:graphic>
            </wp:anchor>
          </w:drawing>
        </mc:Choice>
        <mc:Fallback>
          <w:pict>
            <v:shape id="MSIPCM042b470da40d02d6f1e42886" o:spid="_x0000_s1026" o:spt="202" alt="{&quot;HashCode&quot;:1605846831,&quot;Height&quot;:595.0,&quot;Width&quot;:841.0,&quot;Placement&quot;:&quot;Header&quot;,&quot;Index&quot;:&quot;FirstPage&quot;,&quot;Section&quot;:1,&quot;Top&quot;:0.0,&quot;Left&quot;:0.0}" type="#_x0000_t202" style="position:absolute;left:0pt;margin-left:0pt;margin-top:15pt;height:21.5pt;width:841.95pt;mso-position-horizontal-relative:page;mso-position-vertical-relative:page;z-index:251661312;mso-width-relative:page;mso-height-relative:page;" filled="f" stroked="f" coordsize="21600,21600" o:allowincell="f" o:gfxdata="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">
              <v:fill on="f" focussize="0,0"/>
              <v:stroke on="f" weight="0.5pt"/>
              <v:imagedata o:title=""/>
              <o:lock v:ext="edit" aspectratio="f"/>
              <v:textbox inset="2.54mm,0mm,20pt,0mm">
                <w:txbxContent>
                  <w:p>
                    <w:pPr>
                      <w:rPr>
                        <w:lang w:val="en-IN"/>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D10A5F"/>
    <w:multiLevelType w:val="multilevel"/>
    <w:tmpl w:val="3ED10A5F"/>
    <w:lvl w:ilvl="0" w:tentative="0">
      <w:start w:val="1"/>
      <w:numFmt w:val="decimal"/>
      <w:isLgl/>
      <w:lvlText w:val="%1."/>
      <w:lvlJc w:val="left"/>
      <w:pPr>
        <w:tabs>
          <w:tab w:val="left" w:pos="576"/>
        </w:tabs>
        <w:ind w:left="432" w:hanging="432"/>
      </w:pPr>
      <w:rPr>
        <w:rFonts w:hint="default"/>
        <w:b/>
        <w:i w:val="0"/>
        <w:sz w:val="24"/>
      </w:rPr>
    </w:lvl>
    <w:lvl w:ilvl="1" w:tentative="0">
      <w:start w:val="1"/>
      <w:numFmt w:val="decimal"/>
      <w:lvlText w:val="%1.%2"/>
      <w:lvlJc w:val="left"/>
      <w:pPr>
        <w:tabs>
          <w:tab w:val="left" w:pos="504"/>
        </w:tabs>
        <w:ind w:left="504" w:hanging="504"/>
      </w:pPr>
      <w:rPr>
        <w:rFonts w:hint="default" w:ascii="Times New Roman" w:hAnsi="Times New Roman"/>
        <w:b/>
        <w:i w:val="0"/>
        <w:sz w:val="24"/>
      </w:rPr>
    </w:lvl>
    <w:lvl w:ilvl="2" w:tentative="0">
      <w:start w:val="1"/>
      <w:numFmt w:val="lowerLetter"/>
      <w:pStyle w:val="58"/>
      <w:lvlText w:val="(%3)"/>
      <w:lvlJc w:val="left"/>
      <w:pPr>
        <w:tabs>
          <w:tab w:val="left" w:pos="864"/>
        </w:tabs>
        <w:ind w:left="432" w:firstLine="144"/>
      </w:pPr>
      <w:rPr>
        <w:rFonts w:hint="default" w:ascii="Times New Roman" w:hAnsi="Times New Roman"/>
        <w:b w:val="0"/>
        <w:i w:val="0"/>
        <w:sz w:val="24"/>
      </w:rPr>
    </w:lvl>
    <w:lvl w:ilvl="3" w:tentative="0">
      <w:start w:val="1"/>
      <w:numFmt w:val="lowerRoman"/>
      <w:lvlText w:val="(%4)"/>
      <w:lvlJc w:val="left"/>
      <w:pPr>
        <w:tabs>
          <w:tab w:val="left" w:pos="1512"/>
        </w:tabs>
        <w:ind w:left="1512" w:hanging="648"/>
      </w:pPr>
      <w:rPr>
        <w:rFonts w:hint="default" w:ascii="Times New Roman" w:hAnsi="Times New Roman"/>
        <w:b w:val="0"/>
        <w:i w:val="0"/>
        <w:sz w:val="24"/>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pStyle w:val="3"/>
      <w:lvlText w:val="%1.%2.%3.%4.%5.%6.%7.%8.%9"/>
      <w:lvlJc w:val="left"/>
      <w:pPr>
        <w:tabs>
          <w:tab w:val="left" w:pos="1584"/>
        </w:tabs>
        <w:ind w:left="1584" w:hanging="1584"/>
      </w:pPr>
      <w:rPr>
        <w:rFonts w:hint="default"/>
      </w:rPr>
    </w:lvl>
  </w:abstractNum>
  <w:abstractNum w:abstractNumId="1">
    <w:nsid w:val="4AC70B53"/>
    <w:multiLevelType w:val="multilevel"/>
    <w:tmpl w:val="4AC70B53"/>
    <w:lvl w:ilvl="0" w:tentative="0">
      <w:start w:val="1"/>
      <w:numFmt w:val="lowerLetter"/>
      <w:lvlText w:val="%1)"/>
      <w:lvlJc w:val="left"/>
      <w:pPr>
        <w:ind w:left="720" w:hanging="360"/>
      </w:pPr>
      <w:rPr>
        <w:rFonts w:hint="default"/>
        <w:strike w:val="0"/>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4B496595"/>
    <w:multiLevelType w:val="multilevel"/>
    <w:tmpl w:val="4B496595"/>
    <w:lvl w:ilvl="0" w:tentative="0">
      <w:start w:val="1"/>
      <w:numFmt w:val="lowerLetter"/>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63615DE3"/>
    <w:multiLevelType w:val="multilevel"/>
    <w:tmpl w:val="63615DE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769A0049"/>
    <w:multiLevelType w:val="singleLevel"/>
    <w:tmpl w:val="769A0049"/>
    <w:lvl w:ilvl="0" w:tentative="0">
      <w:start w:val="1"/>
      <w:numFmt w:val="lowerLetter"/>
      <w:lvlText w:val="%1)"/>
      <w:lvlJc w:val="left"/>
      <w:pPr>
        <w:tabs>
          <w:tab w:val="left" w:pos="425"/>
        </w:tabs>
        <w:ind w:left="425" w:leftChars="0" w:hanging="425" w:firstLineChars="0"/>
      </w:pPr>
      <w:rPr>
        <w:rFont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B2"/>
    <w:rsid w:val="00000210"/>
    <w:rsid w:val="000005A0"/>
    <w:rsid w:val="00000685"/>
    <w:rsid w:val="000008F9"/>
    <w:rsid w:val="000029B7"/>
    <w:rsid w:val="000060C2"/>
    <w:rsid w:val="00006758"/>
    <w:rsid w:val="00006B1A"/>
    <w:rsid w:val="00007EEB"/>
    <w:rsid w:val="000120C6"/>
    <w:rsid w:val="0001769D"/>
    <w:rsid w:val="000214AE"/>
    <w:rsid w:val="000230AC"/>
    <w:rsid w:val="00024134"/>
    <w:rsid w:val="0002423E"/>
    <w:rsid w:val="000320DA"/>
    <w:rsid w:val="000349D7"/>
    <w:rsid w:val="00036FDE"/>
    <w:rsid w:val="00037D76"/>
    <w:rsid w:val="00040AF8"/>
    <w:rsid w:val="00042511"/>
    <w:rsid w:val="000520F2"/>
    <w:rsid w:val="000548DF"/>
    <w:rsid w:val="00054902"/>
    <w:rsid w:val="00055D49"/>
    <w:rsid w:val="0006040C"/>
    <w:rsid w:val="000628CE"/>
    <w:rsid w:val="00063D3C"/>
    <w:rsid w:val="000640AE"/>
    <w:rsid w:val="00064F5E"/>
    <w:rsid w:val="00067504"/>
    <w:rsid w:val="00067519"/>
    <w:rsid w:val="0006792F"/>
    <w:rsid w:val="000704B0"/>
    <w:rsid w:val="00073F3F"/>
    <w:rsid w:val="0007652B"/>
    <w:rsid w:val="000805FC"/>
    <w:rsid w:val="00080B7E"/>
    <w:rsid w:val="0008147B"/>
    <w:rsid w:val="000820D5"/>
    <w:rsid w:val="00083067"/>
    <w:rsid w:val="00084C3C"/>
    <w:rsid w:val="000853C6"/>
    <w:rsid w:val="00085782"/>
    <w:rsid w:val="00086D09"/>
    <w:rsid w:val="00086FB0"/>
    <w:rsid w:val="000876CB"/>
    <w:rsid w:val="00092CFC"/>
    <w:rsid w:val="000950D2"/>
    <w:rsid w:val="00095BDD"/>
    <w:rsid w:val="0009629B"/>
    <w:rsid w:val="0009750E"/>
    <w:rsid w:val="00097E77"/>
    <w:rsid w:val="000A095C"/>
    <w:rsid w:val="000A0D89"/>
    <w:rsid w:val="000A2695"/>
    <w:rsid w:val="000A2B0C"/>
    <w:rsid w:val="000A3B7B"/>
    <w:rsid w:val="000B533F"/>
    <w:rsid w:val="000B5711"/>
    <w:rsid w:val="000B6B84"/>
    <w:rsid w:val="000B74DB"/>
    <w:rsid w:val="000C0317"/>
    <w:rsid w:val="000C0681"/>
    <w:rsid w:val="000C0720"/>
    <w:rsid w:val="000C577D"/>
    <w:rsid w:val="000C6BBC"/>
    <w:rsid w:val="000C6CE4"/>
    <w:rsid w:val="000C71BA"/>
    <w:rsid w:val="000C773D"/>
    <w:rsid w:val="000C7EC9"/>
    <w:rsid w:val="000E5041"/>
    <w:rsid w:val="000E6A2E"/>
    <w:rsid w:val="000E7083"/>
    <w:rsid w:val="000E779B"/>
    <w:rsid w:val="000F6342"/>
    <w:rsid w:val="000F7FA3"/>
    <w:rsid w:val="001065C0"/>
    <w:rsid w:val="00107029"/>
    <w:rsid w:val="00107F1C"/>
    <w:rsid w:val="0011064D"/>
    <w:rsid w:val="0011298C"/>
    <w:rsid w:val="00121A1E"/>
    <w:rsid w:val="00122818"/>
    <w:rsid w:val="00122E61"/>
    <w:rsid w:val="001231C7"/>
    <w:rsid w:val="001238F4"/>
    <w:rsid w:val="00124F43"/>
    <w:rsid w:val="00125A7E"/>
    <w:rsid w:val="0012767D"/>
    <w:rsid w:val="00130DE3"/>
    <w:rsid w:val="00132B66"/>
    <w:rsid w:val="001359F4"/>
    <w:rsid w:val="00137653"/>
    <w:rsid w:val="0014341E"/>
    <w:rsid w:val="00144429"/>
    <w:rsid w:val="001444F8"/>
    <w:rsid w:val="001459E2"/>
    <w:rsid w:val="00150312"/>
    <w:rsid w:val="001504F6"/>
    <w:rsid w:val="00150D0F"/>
    <w:rsid w:val="00152484"/>
    <w:rsid w:val="001540F9"/>
    <w:rsid w:val="00154A02"/>
    <w:rsid w:val="00157291"/>
    <w:rsid w:val="00161139"/>
    <w:rsid w:val="001613FD"/>
    <w:rsid w:val="0016557F"/>
    <w:rsid w:val="00166530"/>
    <w:rsid w:val="00171A92"/>
    <w:rsid w:val="00174769"/>
    <w:rsid w:val="00174CE3"/>
    <w:rsid w:val="00177959"/>
    <w:rsid w:val="00177DCB"/>
    <w:rsid w:val="00180E7B"/>
    <w:rsid w:val="00181C38"/>
    <w:rsid w:val="001848F2"/>
    <w:rsid w:val="00195567"/>
    <w:rsid w:val="00196AA2"/>
    <w:rsid w:val="001A0016"/>
    <w:rsid w:val="001A0D7C"/>
    <w:rsid w:val="001A0E55"/>
    <w:rsid w:val="001A5A29"/>
    <w:rsid w:val="001A6398"/>
    <w:rsid w:val="001A72F0"/>
    <w:rsid w:val="001A7DEA"/>
    <w:rsid w:val="001B03F1"/>
    <w:rsid w:val="001B1290"/>
    <w:rsid w:val="001B196E"/>
    <w:rsid w:val="001B25FC"/>
    <w:rsid w:val="001B3948"/>
    <w:rsid w:val="001B5A2A"/>
    <w:rsid w:val="001B618E"/>
    <w:rsid w:val="001C6950"/>
    <w:rsid w:val="001D2931"/>
    <w:rsid w:val="001D34AF"/>
    <w:rsid w:val="001D41CF"/>
    <w:rsid w:val="001D5475"/>
    <w:rsid w:val="001D58E7"/>
    <w:rsid w:val="001E6CDE"/>
    <w:rsid w:val="001E74DE"/>
    <w:rsid w:val="001F5C57"/>
    <w:rsid w:val="001F7248"/>
    <w:rsid w:val="00200AF7"/>
    <w:rsid w:val="0020182E"/>
    <w:rsid w:val="00201C9D"/>
    <w:rsid w:val="00206691"/>
    <w:rsid w:val="00206FD6"/>
    <w:rsid w:val="00212836"/>
    <w:rsid w:val="00212E3B"/>
    <w:rsid w:val="002148EA"/>
    <w:rsid w:val="002217BA"/>
    <w:rsid w:val="00222A6A"/>
    <w:rsid w:val="002230F1"/>
    <w:rsid w:val="0022387F"/>
    <w:rsid w:val="002246B9"/>
    <w:rsid w:val="0022724E"/>
    <w:rsid w:val="002332CD"/>
    <w:rsid w:val="00235BFC"/>
    <w:rsid w:val="00236222"/>
    <w:rsid w:val="0024100F"/>
    <w:rsid w:val="002433A2"/>
    <w:rsid w:val="002445FD"/>
    <w:rsid w:val="00245498"/>
    <w:rsid w:val="0025144A"/>
    <w:rsid w:val="00254086"/>
    <w:rsid w:val="002628BD"/>
    <w:rsid w:val="002635A6"/>
    <w:rsid w:val="0026394D"/>
    <w:rsid w:val="00263C7C"/>
    <w:rsid w:val="00266760"/>
    <w:rsid w:val="00267B0D"/>
    <w:rsid w:val="00267BE0"/>
    <w:rsid w:val="00270633"/>
    <w:rsid w:val="0027216E"/>
    <w:rsid w:val="00272674"/>
    <w:rsid w:val="002751C7"/>
    <w:rsid w:val="002758B1"/>
    <w:rsid w:val="00275EC4"/>
    <w:rsid w:val="00281614"/>
    <w:rsid w:val="00283012"/>
    <w:rsid w:val="00283237"/>
    <w:rsid w:val="002841CD"/>
    <w:rsid w:val="002875E3"/>
    <w:rsid w:val="00291EBD"/>
    <w:rsid w:val="00292544"/>
    <w:rsid w:val="00292629"/>
    <w:rsid w:val="00295329"/>
    <w:rsid w:val="002A31E8"/>
    <w:rsid w:val="002A5F64"/>
    <w:rsid w:val="002B109B"/>
    <w:rsid w:val="002C29D0"/>
    <w:rsid w:val="002C4D5B"/>
    <w:rsid w:val="002C75EB"/>
    <w:rsid w:val="002D2DB2"/>
    <w:rsid w:val="002D522D"/>
    <w:rsid w:val="002E0F77"/>
    <w:rsid w:val="002E142B"/>
    <w:rsid w:val="002E197D"/>
    <w:rsid w:val="002F3D53"/>
    <w:rsid w:val="002F42A6"/>
    <w:rsid w:val="00301745"/>
    <w:rsid w:val="003048A1"/>
    <w:rsid w:val="003112F0"/>
    <w:rsid w:val="00312235"/>
    <w:rsid w:val="00313A70"/>
    <w:rsid w:val="003151EA"/>
    <w:rsid w:val="00317DB7"/>
    <w:rsid w:val="00321391"/>
    <w:rsid w:val="00323C0F"/>
    <w:rsid w:val="00324737"/>
    <w:rsid w:val="00331086"/>
    <w:rsid w:val="00331C61"/>
    <w:rsid w:val="003326C0"/>
    <w:rsid w:val="003357D5"/>
    <w:rsid w:val="00337BBD"/>
    <w:rsid w:val="003403EF"/>
    <w:rsid w:val="003411F3"/>
    <w:rsid w:val="0034538C"/>
    <w:rsid w:val="00345C02"/>
    <w:rsid w:val="00346A6A"/>
    <w:rsid w:val="00346BCA"/>
    <w:rsid w:val="0035145D"/>
    <w:rsid w:val="00353A28"/>
    <w:rsid w:val="0035449D"/>
    <w:rsid w:val="00355743"/>
    <w:rsid w:val="00360DB3"/>
    <w:rsid w:val="00360EC9"/>
    <w:rsid w:val="003619DB"/>
    <w:rsid w:val="00374663"/>
    <w:rsid w:val="0037563C"/>
    <w:rsid w:val="003759F5"/>
    <w:rsid w:val="003803CF"/>
    <w:rsid w:val="00384139"/>
    <w:rsid w:val="0038413C"/>
    <w:rsid w:val="00385DD1"/>
    <w:rsid w:val="00390CD2"/>
    <w:rsid w:val="00391027"/>
    <w:rsid w:val="00391949"/>
    <w:rsid w:val="00392E3B"/>
    <w:rsid w:val="00393AB4"/>
    <w:rsid w:val="00394928"/>
    <w:rsid w:val="00394E1A"/>
    <w:rsid w:val="00395213"/>
    <w:rsid w:val="00396128"/>
    <w:rsid w:val="003A319D"/>
    <w:rsid w:val="003A712C"/>
    <w:rsid w:val="003A7A8D"/>
    <w:rsid w:val="003B0108"/>
    <w:rsid w:val="003B4361"/>
    <w:rsid w:val="003C1F7B"/>
    <w:rsid w:val="003C244F"/>
    <w:rsid w:val="003C3693"/>
    <w:rsid w:val="003C4F30"/>
    <w:rsid w:val="003C5130"/>
    <w:rsid w:val="003C6AAD"/>
    <w:rsid w:val="003D11AE"/>
    <w:rsid w:val="003D16FA"/>
    <w:rsid w:val="003D2B12"/>
    <w:rsid w:val="003D403C"/>
    <w:rsid w:val="003D6D31"/>
    <w:rsid w:val="003D6D87"/>
    <w:rsid w:val="003D71D3"/>
    <w:rsid w:val="003E03E0"/>
    <w:rsid w:val="003E445D"/>
    <w:rsid w:val="003F34BE"/>
    <w:rsid w:val="003F6124"/>
    <w:rsid w:val="003F6967"/>
    <w:rsid w:val="00400EF4"/>
    <w:rsid w:val="00404BFF"/>
    <w:rsid w:val="00404F3E"/>
    <w:rsid w:val="00411E1B"/>
    <w:rsid w:val="00412075"/>
    <w:rsid w:val="00415C9C"/>
    <w:rsid w:val="00417C67"/>
    <w:rsid w:val="00421827"/>
    <w:rsid w:val="00422C2D"/>
    <w:rsid w:val="004240AE"/>
    <w:rsid w:val="00424F83"/>
    <w:rsid w:val="00425967"/>
    <w:rsid w:val="004305E7"/>
    <w:rsid w:val="00436EB4"/>
    <w:rsid w:val="00442411"/>
    <w:rsid w:val="00444570"/>
    <w:rsid w:val="00445448"/>
    <w:rsid w:val="00446431"/>
    <w:rsid w:val="0044685A"/>
    <w:rsid w:val="00450684"/>
    <w:rsid w:val="00452CE3"/>
    <w:rsid w:val="004532A3"/>
    <w:rsid w:val="004537A8"/>
    <w:rsid w:val="004616C8"/>
    <w:rsid w:val="004631F9"/>
    <w:rsid w:val="00465AB3"/>
    <w:rsid w:val="00466118"/>
    <w:rsid w:val="004703AD"/>
    <w:rsid w:val="0047077B"/>
    <w:rsid w:val="00476C56"/>
    <w:rsid w:val="00476F5B"/>
    <w:rsid w:val="00477253"/>
    <w:rsid w:val="00480492"/>
    <w:rsid w:val="00481E2D"/>
    <w:rsid w:val="004830B9"/>
    <w:rsid w:val="0048347C"/>
    <w:rsid w:val="00484D33"/>
    <w:rsid w:val="00484EE9"/>
    <w:rsid w:val="00484F21"/>
    <w:rsid w:val="00487257"/>
    <w:rsid w:val="0049009F"/>
    <w:rsid w:val="00490A05"/>
    <w:rsid w:val="004B22BA"/>
    <w:rsid w:val="004B4DE2"/>
    <w:rsid w:val="004B5355"/>
    <w:rsid w:val="004B69B2"/>
    <w:rsid w:val="004B79E6"/>
    <w:rsid w:val="004C061D"/>
    <w:rsid w:val="004C2D07"/>
    <w:rsid w:val="004D1906"/>
    <w:rsid w:val="004D27DD"/>
    <w:rsid w:val="004D3794"/>
    <w:rsid w:val="004E26CD"/>
    <w:rsid w:val="004E4281"/>
    <w:rsid w:val="004E45DF"/>
    <w:rsid w:val="004E6F8A"/>
    <w:rsid w:val="004E7D2D"/>
    <w:rsid w:val="004F5D54"/>
    <w:rsid w:val="0050494E"/>
    <w:rsid w:val="005050EB"/>
    <w:rsid w:val="00505BE7"/>
    <w:rsid w:val="00512994"/>
    <w:rsid w:val="005129A6"/>
    <w:rsid w:val="005174C9"/>
    <w:rsid w:val="00525265"/>
    <w:rsid w:val="00525600"/>
    <w:rsid w:val="00526C07"/>
    <w:rsid w:val="00530A58"/>
    <w:rsid w:val="00530AEB"/>
    <w:rsid w:val="00530FB6"/>
    <w:rsid w:val="00535BFB"/>
    <w:rsid w:val="00542706"/>
    <w:rsid w:val="00544182"/>
    <w:rsid w:val="005476CF"/>
    <w:rsid w:val="0055172F"/>
    <w:rsid w:val="00553F54"/>
    <w:rsid w:val="00560C60"/>
    <w:rsid w:val="00560E1E"/>
    <w:rsid w:val="00561B48"/>
    <w:rsid w:val="005637AF"/>
    <w:rsid w:val="00563B18"/>
    <w:rsid w:val="00565582"/>
    <w:rsid w:val="005871EF"/>
    <w:rsid w:val="005900A9"/>
    <w:rsid w:val="0059438C"/>
    <w:rsid w:val="005A4D9B"/>
    <w:rsid w:val="005A5260"/>
    <w:rsid w:val="005B614B"/>
    <w:rsid w:val="005B7894"/>
    <w:rsid w:val="005B78A3"/>
    <w:rsid w:val="005C1431"/>
    <w:rsid w:val="005C299A"/>
    <w:rsid w:val="005C307D"/>
    <w:rsid w:val="005C43EE"/>
    <w:rsid w:val="005C4B2F"/>
    <w:rsid w:val="005C4D66"/>
    <w:rsid w:val="005C6EB4"/>
    <w:rsid w:val="005D7843"/>
    <w:rsid w:val="005E0FB1"/>
    <w:rsid w:val="005E6260"/>
    <w:rsid w:val="005F0E02"/>
    <w:rsid w:val="005F20B8"/>
    <w:rsid w:val="005F3CB3"/>
    <w:rsid w:val="006002C8"/>
    <w:rsid w:val="00600AF6"/>
    <w:rsid w:val="0060324E"/>
    <w:rsid w:val="006048FC"/>
    <w:rsid w:val="00605182"/>
    <w:rsid w:val="00605F54"/>
    <w:rsid w:val="006104FB"/>
    <w:rsid w:val="00610BC3"/>
    <w:rsid w:val="00612285"/>
    <w:rsid w:val="006150DA"/>
    <w:rsid w:val="00615DA7"/>
    <w:rsid w:val="00621301"/>
    <w:rsid w:val="0062196C"/>
    <w:rsid w:val="00626D10"/>
    <w:rsid w:val="00627348"/>
    <w:rsid w:val="00627986"/>
    <w:rsid w:val="00627BBC"/>
    <w:rsid w:val="00630608"/>
    <w:rsid w:val="00632C47"/>
    <w:rsid w:val="00636158"/>
    <w:rsid w:val="00636524"/>
    <w:rsid w:val="006378FD"/>
    <w:rsid w:val="0064045C"/>
    <w:rsid w:val="00641873"/>
    <w:rsid w:val="00644B23"/>
    <w:rsid w:val="00651CF7"/>
    <w:rsid w:val="006539A7"/>
    <w:rsid w:val="00653A9F"/>
    <w:rsid w:val="0065671D"/>
    <w:rsid w:val="00657F36"/>
    <w:rsid w:val="00670C2A"/>
    <w:rsid w:val="00670E91"/>
    <w:rsid w:val="006766CF"/>
    <w:rsid w:val="00676CE3"/>
    <w:rsid w:val="00681A3C"/>
    <w:rsid w:val="006824DD"/>
    <w:rsid w:val="00684809"/>
    <w:rsid w:val="00686EE7"/>
    <w:rsid w:val="00687AAD"/>
    <w:rsid w:val="00692F8D"/>
    <w:rsid w:val="006934C0"/>
    <w:rsid w:val="00696BFE"/>
    <w:rsid w:val="006A428D"/>
    <w:rsid w:val="006A69A3"/>
    <w:rsid w:val="006B0127"/>
    <w:rsid w:val="006B485F"/>
    <w:rsid w:val="006B565E"/>
    <w:rsid w:val="006B7BA7"/>
    <w:rsid w:val="006C1640"/>
    <w:rsid w:val="006C2A17"/>
    <w:rsid w:val="006C2DCE"/>
    <w:rsid w:val="006C30E1"/>
    <w:rsid w:val="006C4B0D"/>
    <w:rsid w:val="006C65C3"/>
    <w:rsid w:val="006C6DC4"/>
    <w:rsid w:val="006D0377"/>
    <w:rsid w:val="006D4F0B"/>
    <w:rsid w:val="006E2118"/>
    <w:rsid w:val="006E2462"/>
    <w:rsid w:val="006E3CA9"/>
    <w:rsid w:val="00701EF0"/>
    <w:rsid w:val="00703173"/>
    <w:rsid w:val="00703CCF"/>
    <w:rsid w:val="00705457"/>
    <w:rsid w:val="00706326"/>
    <w:rsid w:val="00713AB5"/>
    <w:rsid w:val="0071523B"/>
    <w:rsid w:val="00721179"/>
    <w:rsid w:val="00721B0C"/>
    <w:rsid w:val="0072287F"/>
    <w:rsid w:val="007257FF"/>
    <w:rsid w:val="00726F10"/>
    <w:rsid w:val="00733C94"/>
    <w:rsid w:val="00737E96"/>
    <w:rsid w:val="0074537E"/>
    <w:rsid w:val="0075352F"/>
    <w:rsid w:val="0075361D"/>
    <w:rsid w:val="00753CB6"/>
    <w:rsid w:val="00753F41"/>
    <w:rsid w:val="00760F7B"/>
    <w:rsid w:val="00762608"/>
    <w:rsid w:val="00770D04"/>
    <w:rsid w:val="007719C3"/>
    <w:rsid w:val="007724C1"/>
    <w:rsid w:val="00775C1C"/>
    <w:rsid w:val="0078619C"/>
    <w:rsid w:val="0079048C"/>
    <w:rsid w:val="00792EB2"/>
    <w:rsid w:val="007935E9"/>
    <w:rsid w:val="0079406A"/>
    <w:rsid w:val="007A0E37"/>
    <w:rsid w:val="007A1674"/>
    <w:rsid w:val="007A16B9"/>
    <w:rsid w:val="007A1C56"/>
    <w:rsid w:val="007A3D2F"/>
    <w:rsid w:val="007A4AAC"/>
    <w:rsid w:val="007A5922"/>
    <w:rsid w:val="007B006F"/>
    <w:rsid w:val="007B0ADC"/>
    <w:rsid w:val="007B0BD8"/>
    <w:rsid w:val="007B0EEA"/>
    <w:rsid w:val="007B22DF"/>
    <w:rsid w:val="007B4888"/>
    <w:rsid w:val="007C0F0D"/>
    <w:rsid w:val="007C11B9"/>
    <w:rsid w:val="007C24B1"/>
    <w:rsid w:val="007C317D"/>
    <w:rsid w:val="007C35EE"/>
    <w:rsid w:val="007C50D7"/>
    <w:rsid w:val="007D21B9"/>
    <w:rsid w:val="007D2551"/>
    <w:rsid w:val="007D33CE"/>
    <w:rsid w:val="007D450A"/>
    <w:rsid w:val="007E1D6D"/>
    <w:rsid w:val="007E2151"/>
    <w:rsid w:val="007E312D"/>
    <w:rsid w:val="007E5ECB"/>
    <w:rsid w:val="007F1178"/>
    <w:rsid w:val="007F11A5"/>
    <w:rsid w:val="007F2237"/>
    <w:rsid w:val="007F291E"/>
    <w:rsid w:val="007F323A"/>
    <w:rsid w:val="007F4935"/>
    <w:rsid w:val="00800F5F"/>
    <w:rsid w:val="00802373"/>
    <w:rsid w:val="00806406"/>
    <w:rsid w:val="00807FB3"/>
    <w:rsid w:val="00810A77"/>
    <w:rsid w:val="0081237A"/>
    <w:rsid w:val="00813955"/>
    <w:rsid w:val="00814AA1"/>
    <w:rsid w:val="00820F12"/>
    <w:rsid w:val="00825B03"/>
    <w:rsid w:val="00831104"/>
    <w:rsid w:val="00831BE3"/>
    <w:rsid w:val="0083211E"/>
    <w:rsid w:val="00833C11"/>
    <w:rsid w:val="00834CC1"/>
    <w:rsid w:val="0084220E"/>
    <w:rsid w:val="00847BA4"/>
    <w:rsid w:val="00847F91"/>
    <w:rsid w:val="00850F4D"/>
    <w:rsid w:val="00853CC6"/>
    <w:rsid w:val="00854B68"/>
    <w:rsid w:val="00857403"/>
    <w:rsid w:val="00861CEC"/>
    <w:rsid w:val="008649E4"/>
    <w:rsid w:val="00864E51"/>
    <w:rsid w:val="00865D58"/>
    <w:rsid w:val="00866F2F"/>
    <w:rsid w:val="00870106"/>
    <w:rsid w:val="00870A2A"/>
    <w:rsid w:val="00876768"/>
    <w:rsid w:val="008801E0"/>
    <w:rsid w:val="00880E84"/>
    <w:rsid w:val="008842E7"/>
    <w:rsid w:val="00887D42"/>
    <w:rsid w:val="00894CA6"/>
    <w:rsid w:val="008958CE"/>
    <w:rsid w:val="00895ECD"/>
    <w:rsid w:val="00896300"/>
    <w:rsid w:val="008965AB"/>
    <w:rsid w:val="008A3C8C"/>
    <w:rsid w:val="008A42F2"/>
    <w:rsid w:val="008A4410"/>
    <w:rsid w:val="008A49FA"/>
    <w:rsid w:val="008A4F41"/>
    <w:rsid w:val="008A5C0C"/>
    <w:rsid w:val="008A5C2E"/>
    <w:rsid w:val="008A7B99"/>
    <w:rsid w:val="008B0410"/>
    <w:rsid w:val="008B0D67"/>
    <w:rsid w:val="008B143C"/>
    <w:rsid w:val="008B1804"/>
    <w:rsid w:val="008B3A50"/>
    <w:rsid w:val="008B54C8"/>
    <w:rsid w:val="008B6F48"/>
    <w:rsid w:val="008B75E9"/>
    <w:rsid w:val="008C2AFB"/>
    <w:rsid w:val="008C5C22"/>
    <w:rsid w:val="008C696A"/>
    <w:rsid w:val="008C6DDF"/>
    <w:rsid w:val="008D469E"/>
    <w:rsid w:val="008D537B"/>
    <w:rsid w:val="008E08E5"/>
    <w:rsid w:val="008E0D65"/>
    <w:rsid w:val="008E5579"/>
    <w:rsid w:val="008E5977"/>
    <w:rsid w:val="008E6CEA"/>
    <w:rsid w:val="008E75EA"/>
    <w:rsid w:val="008F0864"/>
    <w:rsid w:val="008F164E"/>
    <w:rsid w:val="008F16F9"/>
    <w:rsid w:val="008F3A9A"/>
    <w:rsid w:val="008F492A"/>
    <w:rsid w:val="008F667D"/>
    <w:rsid w:val="009048E5"/>
    <w:rsid w:val="00905F92"/>
    <w:rsid w:val="0090626F"/>
    <w:rsid w:val="009069D4"/>
    <w:rsid w:val="0091099B"/>
    <w:rsid w:val="009111A3"/>
    <w:rsid w:val="009234F7"/>
    <w:rsid w:val="009269DB"/>
    <w:rsid w:val="009340E9"/>
    <w:rsid w:val="0094021C"/>
    <w:rsid w:val="00941844"/>
    <w:rsid w:val="0094358A"/>
    <w:rsid w:val="00951EB3"/>
    <w:rsid w:val="009523FC"/>
    <w:rsid w:val="009524B5"/>
    <w:rsid w:val="009551BE"/>
    <w:rsid w:val="00956A14"/>
    <w:rsid w:val="0096173F"/>
    <w:rsid w:val="0097125F"/>
    <w:rsid w:val="0097795A"/>
    <w:rsid w:val="00977E2E"/>
    <w:rsid w:val="009820B1"/>
    <w:rsid w:val="00984D54"/>
    <w:rsid w:val="00984E32"/>
    <w:rsid w:val="00987DFB"/>
    <w:rsid w:val="009918C7"/>
    <w:rsid w:val="009924EA"/>
    <w:rsid w:val="009926C0"/>
    <w:rsid w:val="00994FB4"/>
    <w:rsid w:val="009A01D5"/>
    <w:rsid w:val="009A100F"/>
    <w:rsid w:val="009A1266"/>
    <w:rsid w:val="009A1D31"/>
    <w:rsid w:val="009A243A"/>
    <w:rsid w:val="009A280F"/>
    <w:rsid w:val="009A47C6"/>
    <w:rsid w:val="009A56A7"/>
    <w:rsid w:val="009B0C43"/>
    <w:rsid w:val="009B5953"/>
    <w:rsid w:val="009C1083"/>
    <w:rsid w:val="009C232B"/>
    <w:rsid w:val="009C56DF"/>
    <w:rsid w:val="009C614C"/>
    <w:rsid w:val="009D0D54"/>
    <w:rsid w:val="009D1DB7"/>
    <w:rsid w:val="009D2182"/>
    <w:rsid w:val="009D3AA1"/>
    <w:rsid w:val="009D6BCD"/>
    <w:rsid w:val="009E317E"/>
    <w:rsid w:val="009E3458"/>
    <w:rsid w:val="009E3BE1"/>
    <w:rsid w:val="009E41F3"/>
    <w:rsid w:val="009E5315"/>
    <w:rsid w:val="009E78A7"/>
    <w:rsid w:val="009F10E9"/>
    <w:rsid w:val="009F1A33"/>
    <w:rsid w:val="009F2278"/>
    <w:rsid w:val="009F2BAA"/>
    <w:rsid w:val="009F4EF4"/>
    <w:rsid w:val="009F5F91"/>
    <w:rsid w:val="00A00252"/>
    <w:rsid w:val="00A005DC"/>
    <w:rsid w:val="00A0069C"/>
    <w:rsid w:val="00A03D7D"/>
    <w:rsid w:val="00A0507F"/>
    <w:rsid w:val="00A07CB2"/>
    <w:rsid w:val="00A112D2"/>
    <w:rsid w:val="00A12847"/>
    <w:rsid w:val="00A1517E"/>
    <w:rsid w:val="00A160FC"/>
    <w:rsid w:val="00A1748A"/>
    <w:rsid w:val="00A21DB6"/>
    <w:rsid w:val="00A23FF3"/>
    <w:rsid w:val="00A24091"/>
    <w:rsid w:val="00A37A9F"/>
    <w:rsid w:val="00A4593A"/>
    <w:rsid w:val="00A46CD8"/>
    <w:rsid w:val="00A50A97"/>
    <w:rsid w:val="00A52211"/>
    <w:rsid w:val="00A52269"/>
    <w:rsid w:val="00A54DCE"/>
    <w:rsid w:val="00A56604"/>
    <w:rsid w:val="00A6305E"/>
    <w:rsid w:val="00A63DAA"/>
    <w:rsid w:val="00A656BC"/>
    <w:rsid w:val="00A66C2C"/>
    <w:rsid w:val="00A67550"/>
    <w:rsid w:val="00A67AED"/>
    <w:rsid w:val="00A73510"/>
    <w:rsid w:val="00A760F7"/>
    <w:rsid w:val="00A839BB"/>
    <w:rsid w:val="00A979BD"/>
    <w:rsid w:val="00AA0B83"/>
    <w:rsid w:val="00AA27A4"/>
    <w:rsid w:val="00AA42CB"/>
    <w:rsid w:val="00AA4DE3"/>
    <w:rsid w:val="00AB1330"/>
    <w:rsid w:val="00AB1AEE"/>
    <w:rsid w:val="00AB2388"/>
    <w:rsid w:val="00AB5866"/>
    <w:rsid w:val="00AB660A"/>
    <w:rsid w:val="00AB6D67"/>
    <w:rsid w:val="00AC206A"/>
    <w:rsid w:val="00AC3609"/>
    <w:rsid w:val="00AC5E71"/>
    <w:rsid w:val="00AC6BCA"/>
    <w:rsid w:val="00AC77C7"/>
    <w:rsid w:val="00AD23FA"/>
    <w:rsid w:val="00AD3124"/>
    <w:rsid w:val="00AD5E41"/>
    <w:rsid w:val="00AE077E"/>
    <w:rsid w:val="00AE1A03"/>
    <w:rsid w:val="00AE2E03"/>
    <w:rsid w:val="00AE2FF0"/>
    <w:rsid w:val="00AE556B"/>
    <w:rsid w:val="00AE6297"/>
    <w:rsid w:val="00AF2547"/>
    <w:rsid w:val="00AF366E"/>
    <w:rsid w:val="00AF4109"/>
    <w:rsid w:val="00AF4161"/>
    <w:rsid w:val="00AF4AEB"/>
    <w:rsid w:val="00AF4D3B"/>
    <w:rsid w:val="00AF7082"/>
    <w:rsid w:val="00B0040D"/>
    <w:rsid w:val="00B04864"/>
    <w:rsid w:val="00B04914"/>
    <w:rsid w:val="00B07C83"/>
    <w:rsid w:val="00B1594C"/>
    <w:rsid w:val="00B1661E"/>
    <w:rsid w:val="00B212D6"/>
    <w:rsid w:val="00B339F7"/>
    <w:rsid w:val="00B33A48"/>
    <w:rsid w:val="00B36CFD"/>
    <w:rsid w:val="00B37CE5"/>
    <w:rsid w:val="00B400BD"/>
    <w:rsid w:val="00B42C11"/>
    <w:rsid w:val="00B46516"/>
    <w:rsid w:val="00B46590"/>
    <w:rsid w:val="00B4723B"/>
    <w:rsid w:val="00B51190"/>
    <w:rsid w:val="00B51191"/>
    <w:rsid w:val="00B51FEC"/>
    <w:rsid w:val="00B530C3"/>
    <w:rsid w:val="00B553D4"/>
    <w:rsid w:val="00B63568"/>
    <w:rsid w:val="00B635E7"/>
    <w:rsid w:val="00B66DB6"/>
    <w:rsid w:val="00B70890"/>
    <w:rsid w:val="00B72167"/>
    <w:rsid w:val="00B723C4"/>
    <w:rsid w:val="00B72BBD"/>
    <w:rsid w:val="00B810B2"/>
    <w:rsid w:val="00B83D21"/>
    <w:rsid w:val="00B94A9C"/>
    <w:rsid w:val="00B9504C"/>
    <w:rsid w:val="00BA08CE"/>
    <w:rsid w:val="00BA18E8"/>
    <w:rsid w:val="00BA2FBE"/>
    <w:rsid w:val="00BB12F9"/>
    <w:rsid w:val="00BB1364"/>
    <w:rsid w:val="00BB33D5"/>
    <w:rsid w:val="00BB5D42"/>
    <w:rsid w:val="00BB7005"/>
    <w:rsid w:val="00BC32DA"/>
    <w:rsid w:val="00BC4299"/>
    <w:rsid w:val="00BC6094"/>
    <w:rsid w:val="00BD09D2"/>
    <w:rsid w:val="00BD442E"/>
    <w:rsid w:val="00BD71A6"/>
    <w:rsid w:val="00BD7CEE"/>
    <w:rsid w:val="00BE0124"/>
    <w:rsid w:val="00BE093B"/>
    <w:rsid w:val="00BE2EAA"/>
    <w:rsid w:val="00BE2F04"/>
    <w:rsid w:val="00BE3007"/>
    <w:rsid w:val="00BE4F72"/>
    <w:rsid w:val="00BE6E75"/>
    <w:rsid w:val="00BF2B71"/>
    <w:rsid w:val="00BF3C19"/>
    <w:rsid w:val="00BF4EB9"/>
    <w:rsid w:val="00BF5EBE"/>
    <w:rsid w:val="00BF6DF8"/>
    <w:rsid w:val="00BF74C4"/>
    <w:rsid w:val="00C00C8E"/>
    <w:rsid w:val="00C01864"/>
    <w:rsid w:val="00C022E3"/>
    <w:rsid w:val="00C043D2"/>
    <w:rsid w:val="00C06E1B"/>
    <w:rsid w:val="00C13486"/>
    <w:rsid w:val="00C153AD"/>
    <w:rsid w:val="00C2364D"/>
    <w:rsid w:val="00C24FC7"/>
    <w:rsid w:val="00C25025"/>
    <w:rsid w:val="00C2741B"/>
    <w:rsid w:val="00C30043"/>
    <w:rsid w:val="00C33DF6"/>
    <w:rsid w:val="00C37647"/>
    <w:rsid w:val="00C42762"/>
    <w:rsid w:val="00C4617C"/>
    <w:rsid w:val="00C54DF0"/>
    <w:rsid w:val="00C57B41"/>
    <w:rsid w:val="00C62DDD"/>
    <w:rsid w:val="00C631D3"/>
    <w:rsid w:val="00C6470C"/>
    <w:rsid w:val="00C671F0"/>
    <w:rsid w:val="00C70A4D"/>
    <w:rsid w:val="00C71B9D"/>
    <w:rsid w:val="00C73200"/>
    <w:rsid w:val="00C74600"/>
    <w:rsid w:val="00C74D75"/>
    <w:rsid w:val="00C765A8"/>
    <w:rsid w:val="00C76BFD"/>
    <w:rsid w:val="00C84A81"/>
    <w:rsid w:val="00C8784D"/>
    <w:rsid w:val="00C92965"/>
    <w:rsid w:val="00C94A38"/>
    <w:rsid w:val="00C96D12"/>
    <w:rsid w:val="00C97FA9"/>
    <w:rsid w:val="00CA1B03"/>
    <w:rsid w:val="00CA1D9B"/>
    <w:rsid w:val="00CA42FE"/>
    <w:rsid w:val="00CA69A9"/>
    <w:rsid w:val="00CA6ECA"/>
    <w:rsid w:val="00CB1595"/>
    <w:rsid w:val="00CB1FCF"/>
    <w:rsid w:val="00CB36A3"/>
    <w:rsid w:val="00CB544C"/>
    <w:rsid w:val="00CB56F8"/>
    <w:rsid w:val="00CC1A43"/>
    <w:rsid w:val="00CC2F35"/>
    <w:rsid w:val="00CC6E55"/>
    <w:rsid w:val="00CC71F3"/>
    <w:rsid w:val="00CC7A4A"/>
    <w:rsid w:val="00CD166F"/>
    <w:rsid w:val="00CD1BEB"/>
    <w:rsid w:val="00CD4317"/>
    <w:rsid w:val="00CD4B96"/>
    <w:rsid w:val="00CD7AC2"/>
    <w:rsid w:val="00CE1D3B"/>
    <w:rsid w:val="00CE2607"/>
    <w:rsid w:val="00CF190A"/>
    <w:rsid w:val="00CF6760"/>
    <w:rsid w:val="00D0200A"/>
    <w:rsid w:val="00D04BBC"/>
    <w:rsid w:val="00D064E9"/>
    <w:rsid w:val="00D0702D"/>
    <w:rsid w:val="00D153A1"/>
    <w:rsid w:val="00D15BEF"/>
    <w:rsid w:val="00D21336"/>
    <w:rsid w:val="00D22622"/>
    <w:rsid w:val="00D32289"/>
    <w:rsid w:val="00D32DC3"/>
    <w:rsid w:val="00D34606"/>
    <w:rsid w:val="00D35DCD"/>
    <w:rsid w:val="00D36148"/>
    <w:rsid w:val="00D3725D"/>
    <w:rsid w:val="00D44448"/>
    <w:rsid w:val="00D45A93"/>
    <w:rsid w:val="00D51F24"/>
    <w:rsid w:val="00D55D69"/>
    <w:rsid w:val="00D572DA"/>
    <w:rsid w:val="00D6160F"/>
    <w:rsid w:val="00D6196A"/>
    <w:rsid w:val="00D62092"/>
    <w:rsid w:val="00D62E71"/>
    <w:rsid w:val="00D63196"/>
    <w:rsid w:val="00D631A3"/>
    <w:rsid w:val="00D6343B"/>
    <w:rsid w:val="00D638B7"/>
    <w:rsid w:val="00D7484D"/>
    <w:rsid w:val="00D753B4"/>
    <w:rsid w:val="00D760BE"/>
    <w:rsid w:val="00D77E54"/>
    <w:rsid w:val="00D827CC"/>
    <w:rsid w:val="00D83D8A"/>
    <w:rsid w:val="00D972A3"/>
    <w:rsid w:val="00DA05A5"/>
    <w:rsid w:val="00DA1745"/>
    <w:rsid w:val="00DA251A"/>
    <w:rsid w:val="00DA59B4"/>
    <w:rsid w:val="00DB0067"/>
    <w:rsid w:val="00DB13B8"/>
    <w:rsid w:val="00DB1B37"/>
    <w:rsid w:val="00DB643A"/>
    <w:rsid w:val="00DB6978"/>
    <w:rsid w:val="00DC25BB"/>
    <w:rsid w:val="00DC2A55"/>
    <w:rsid w:val="00DC317D"/>
    <w:rsid w:val="00DC3818"/>
    <w:rsid w:val="00DC58D3"/>
    <w:rsid w:val="00DC6BEC"/>
    <w:rsid w:val="00DD4324"/>
    <w:rsid w:val="00DD5058"/>
    <w:rsid w:val="00DD5E0A"/>
    <w:rsid w:val="00DD6014"/>
    <w:rsid w:val="00DE4E9A"/>
    <w:rsid w:val="00DE78EB"/>
    <w:rsid w:val="00DF3478"/>
    <w:rsid w:val="00DF4074"/>
    <w:rsid w:val="00DF410B"/>
    <w:rsid w:val="00DF63A0"/>
    <w:rsid w:val="00E0347D"/>
    <w:rsid w:val="00E04A8A"/>
    <w:rsid w:val="00E06ECE"/>
    <w:rsid w:val="00E075E9"/>
    <w:rsid w:val="00E0790E"/>
    <w:rsid w:val="00E11B1B"/>
    <w:rsid w:val="00E11E05"/>
    <w:rsid w:val="00E13AE2"/>
    <w:rsid w:val="00E14B24"/>
    <w:rsid w:val="00E153F2"/>
    <w:rsid w:val="00E17472"/>
    <w:rsid w:val="00E2181B"/>
    <w:rsid w:val="00E21AB3"/>
    <w:rsid w:val="00E24E1F"/>
    <w:rsid w:val="00E26E53"/>
    <w:rsid w:val="00E332DA"/>
    <w:rsid w:val="00E33906"/>
    <w:rsid w:val="00E34C4E"/>
    <w:rsid w:val="00E37939"/>
    <w:rsid w:val="00E42B2A"/>
    <w:rsid w:val="00E4354A"/>
    <w:rsid w:val="00E435F0"/>
    <w:rsid w:val="00E44C33"/>
    <w:rsid w:val="00E504B7"/>
    <w:rsid w:val="00E55651"/>
    <w:rsid w:val="00E5612A"/>
    <w:rsid w:val="00E56E0F"/>
    <w:rsid w:val="00E620DD"/>
    <w:rsid w:val="00E62C26"/>
    <w:rsid w:val="00E63432"/>
    <w:rsid w:val="00E64F64"/>
    <w:rsid w:val="00E659EB"/>
    <w:rsid w:val="00E70F99"/>
    <w:rsid w:val="00E75A05"/>
    <w:rsid w:val="00E7605B"/>
    <w:rsid w:val="00E86AFC"/>
    <w:rsid w:val="00E86C4A"/>
    <w:rsid w:val="00E86D59"/>
    <w:rsid w:val="00E9067C"/>
    <w:rsid w:val="00E9085D"/>
    <w:rsid w:val="00E90ADD"/>
    <w:rsid w:val="00E92B8A"/>
    <w:rsid w:val="00E93094"/>
    <w:rsid w:val="00E94FED"/>
    <w:rsid w:val="00E95601"/>
    <w:rsid w:val="00EA70DE"/>
    <w:rsid w:val="00EA77F8"/>
    <w:rsid w:val="00EB2C6C"/>
    <w:rsid w:val="00EB5950"/>
    <w:rsid w:val="00EC26C9"/>
    <w:rsid w:val="00EC5519"/>
    <w:rsid w:val="00EC5E1F"/>
    <w:rsid w:val="00ED02D9"/>
    <w:rsid w:val="00ED12BC"/>
    <w:rsid w:val="00ED207E"/>
    <w:rsid w:val="00ED3899"/>
    <w:rsid w:val="00ED47D2"/>
    <w:rsid w:val="00EE2B32"/>
    <w:rsid w:val="00EE331F"/>
    <w:rsid w:val="00EE4BD0"/>
    <w:rsid w:val="00EF1BF2"/>
    <w:rsid w:val="00EF2A9D"/>
    <w:rsid w:val="00F05574"/>
    <w:rsid w:val="00F12659"/>
    <w:rsid w:val="00F133DC"/>
    <w:rsid w:val="00F1405D"/>
    <w:rsid w:val="00F2141C"/>
    <w:rsid w:val="00F31033"/>
    <w:rsid w:val="00F35DF8"/>
    <w:rsid w:val="00F508F2"/>
    <w:rsid w:val="00F55E14"/>
    <w:rsid w:val="00F56464"/>
    <w:rsid w:val="00F56BCB"/>
    <w:rsid w:val="00F6194D"/>
    <w:rsid w:val="00F62B70"/>
    <w:rsid w:val="00F64103"/>
    <w:rsid w:val="00F661C6"/>
    <w:rsid w:val="00F66348"/>
    <w:rsid w:val="00F67EB0"/>
    <w:rsid w:val="00F71892"/>
    <w:rsid w:val="00F760B9"/>
    <w:rsid w:val="00F769F0"/>
    <w:rsid w:val="00F82408"/>
    <w:rsid w:val="00F82FF3"/>
    <w:rsid w:val="00F942A9"/>
    <w:rsid w:val="00F9724F"/>
    <w:rsid w:val="00FA0B08"/>
    <w:rsid w:val="00FA19AC"/>
    <w:rsid w:val="00FA2810"/>
    <w:rsid w:val="00FA49A2"/>
    <w:rsid w:val="00FA5058"/>
    <w:rsid w:val="00FA5474"/>
    <w:rsid w:val="00FA74E3"/>
    <w:rsid w:val="00FB34CB"/>
    <w:rsid w:val="00FB68F1"/>
    <w:rsid w:val="00FB6A81"/>
    <w:rsid w:val="00FC1712"/>
    <w:rsid w:val="00FC17BC"/>
    <w:rsid w:val="00FC3013"/>
    <w:rsid w:val="00FC5999"/>
    <w:rsid w:val="00FC7F84"/>
    <w:rsid w:val="00FD1FE5"/>
    <w:rsid w:val="00FD44DC"/>
    <w:rsid w:val="00FD7CDE"/>
    <w:rsid w:val="00FE40CB"/>
    <w:rsid w:val="00FF1CC1"/>
    <w:rsid w:val="00FF3FC7"/>
    <w:rsid w:val="00FF5E06"/>
    <w:rsid w:val="00FF7CC6"/>
    <w:rsid w:val="050C0651"/>
    <w:rsid w:val="0B5E2A33"/>
    <w:rsid w:val="676B3A68"/>
    <w:rsid w:val="6B2D52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nhideWhenUsed="0" w:uiPriority="0" w:semiHidden="0" w:name="heading 9"/>
    <w:lsdException w:qFormat="1"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unhideWhenUsed="0" w:uiPriority="0" w:name="index heading"/>
    <w:lsdException w:qFormat="1"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99" w:semiHidden="0" w:name="annotation reference"/>
    <w:lsdException w:uiPriority="99" w:name="line number"/>
    <w:lsdException w:qFormat="1" w:unhideWhenUsed="0" w:uiPriority="0" w:semiHidden="0" w:name="page number"/>
    <w:lsdException w:qFormat="1" w:uiPriority="99" w:name="endnote reference"/>
    <w:lsdException w:uiPriority="99" w:name="endnote text"/>
    <w:lsdException w:uiPriority="99" w:name="table of authorities"/>
    <w:lsdException w:uiPriority="99" w:name="macro"/>
    <w:lsdException w:unhideWhenUsed="0" w:uiPriority="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en-US" w:eastAsia="en-US" w:bidi="ar-SA"/>
    </w:rPr>
  </w:style>
  <w:style w:type="paragraph" w:styleId="2">
    <w:name w:val="heading 2"/>
    <w:basedOn w:val="1"/>
    <w:next w:val="1"/>
    <w:link w:val="42"/>
    <w:qFormat/>
    <w:uiPriority w:val="99"/>
    <w:pPr>
      <w:suppressAutoHyphens/>
      <w:spacing w:after="240"/>
      <w:jc w:val="center"/>
      <w:outlineLvl w:val="1"/>
    </w:pPr>
    <w:rPr>
      <w:rFonts w:ascii="Times New Roman Bold" w:hAnsi="Times New Roman Bold"/>
      <w:b/>
      <w:sz w:val="28"/>
    </w:rPr>
  </w:style>
  <w:style w:type="paragraph" w:styleId="3">
    <w:name w:val="heading 9"/>
    <w:basedOn w:val="1"/>
    <w:next w:val="1"/>
    <w:link w:val="57"/>
    <w:qFormat/>
    <w:uiPriority w:val="0"/>
    <w:pPr>
      <w:numPr>
        <w:ilvl w:val="8"/>
        <w:numId w:val="1"/>
      </w:numPr>
      <w:spacing w:before="240" w:after="60"/>
      <w:jc w:val="both"/>
      <w:outlineLvl w:val="8"/>
    </w:pPr>
    <w:rPr>
      <w:rFonts w:ascii="Arial" w:hAnsi="Arial"/>
      <w:b/>
      <w:i/>
      <w:sz w:val="18"/>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33"/>
    <w:semiHidden/>
    <w:unhideWhenUsed/>
    <w:qFormat/>
    <w:uiPriority w:val="99"/>
    <w:rPr>
      <w:rFonts w:ascii="Segoe UI" w:hAnsi="Segoe UI" w:cs="Segoe UI"/>
      <w:sz w:val="18"/>
      <w:szCs w:val="18"/>
    </w:rPr>
  </w:style>
  <w:style w:type="paragraph" w:styleId="7">
    <w:name w:val="Body Text"/>
    <w:basedOn w:val="1"/>
    <w:link w:val="56"/>
    <w:semiHidden/>
    <w:unhideWhenUsed/>
    <w:qFormat/>
    <w:uiPriority w:val="99"/>
    <w:pPr>
      <w:spacing w:after="120"/>
    </w:pPr>
  </w:style>
  <w:style w:type="paragraph" w:styleId="8">
    <w:name w:val="Body Text 2"/>
    <w:basedOn w:val="1"/>
    <w:link w:val="40"/>
    <w:semiHidden/>
    <w:unhideWhenUsed/>
    <w:qFormat/>
    <w:uiPriority w:val="99"/>
    <w:pPr>
      <w:spacing w:after="120" w:line="480" w:lineRule="auto"/>
    </w:pPr>
  </w:style>
  <w:style w:type="paragraph" w:styleId="9">
    <w:name w:val="caption"/>
    <w:basedOn w:val="1"/>
    <w:next w:val="1"/>
    <w:link w:val="43"/>
    <w:unhideWhenUsed/>
    <w:qFormat/>
    <w:uiPriority w:val="0"/>
    <w:pPr>
      <w:spacing w:after="200"/>
    </w:pPr>
    <w:rPr>
      <w:rFonts w:ascii="Arial Narrow" w:hAnsi="Arial Narrow" w:eastAsia="Calibri"/>
      <w:i/>
      <w:iCs/>
      <w:color w:val="44546A" w:themeColor="text2"/>
      <w:sz w:val="18"/>
      <w:szCs w:val="18"/>
      <w:lang w:val="en-IN"/>
      <w14:textFill>
        <w14:solidFill>
          <w14:schemeClr w14:val="tx2"/>
        </w14:solidFill>
      </w14:textFill>
    </w:rPr>
  </w:style>
  <w:style w:type="character" w:styleId="10">
    <w:name w:val="annotation reference"/>
    <w:basedOn w:val="4"/>
    <w:unhideWhenUsed/>
    <w:qFormat/>
    <w:uiPriority w:val="99"/>
    <w:rPr>
      <w:sz w:val="16"/>
      <w:szCs w:val="16"/>
    </w:rPr>
  </w:style>
  <w:style w:type="paragraph" w:styleId="11">
    <w:name w:val="annotation text"/>
    <w:basedOn w:val="1"/>
    <w:link w:val="34"/>
    <w:unhideWhenUsed/>
    <w:qFormat/>
    <w:uiPriority w:val="99"/>
    <w:rPr>
      <w:sz w:val="20"/>
      <w:szCs w:val="20"/>
    </w:rPr>
  </w:style>
  <w:style w:type="paragraph" w:styleId="12">
    <w:name w:val="annotation subject"/>
    <w:basedOn w:val="11"/>
    <w:next w:val="11"/>
    <w:link w:val="35"/>
    <w:semiHidden/>
    <w:unhideWhenUsed/>
    <w:qFormat/>
    <w:uiPriority w:val="99"/>
    <w:rPr>
      <w:b/>
      <w:bCs/>
    </w:rPr>
  </w:style>
  <w:style w:type="character" w:styleId="13">
    <w:name w:val="endnote reference"/>
    <w:basedOn w:val="4"/>
    <w:semiHidden/>
    <w:unhideWhenUsed/>
    <w:qFormat/>
    <w:uiPriority w:val="99"/>
    <w:rPr>
      <w:vertAlign w:val="superscript"/>
    </w:rPr>
  </w:style>
  <w:style w:type="paragraph" w:styleId="14">
    <w:name w:val="endnote text"/>
    <w:basedOn w:val="1"/>
    <w:link w:val="48"/>
    <w:semiHidden/>
    <w:unhideWhenUsed/>
    <w:uiPriority w:val="99"/>
    <w:rPr>
      <w:sz w:val="20"/>
      <w:szCs w:val="20"/>
    </w:rPr>
  </w:style>
  <w:style w:type="character" w:styleId="15">
    <w:name w:val="FollowedHyperlink"/>
    <w:basedOn w:val="4"/>
    <w:semiHidden/>
    <w:unhideWhenUsed/>
    <w:qFormat/>
    <w:uiPriority w:val="99"/>
    <w:rPr>
      <w:color w:val="954F72" w:themeColor="followedHyperlink"/>
      <w:u w:val="single"/>
      <w14:textFill>
        <w14:solidFill>
          <w14:schemeClr w14:val="folHlink"/>
        </w14:solidFill>
      </w14:textFill>
    </w:rPr>
  </w:style>
  <w:style w:type="paragraph" w:styleId="16">
    <w:name w:val="footer"/>
    <w:basedOn w:val="1"/>
    <w:link w:val="27"/>
    <w:qFormat/>
    <w:uiPriority w:val="99"/>
    <w:pPr>
      <w:tabs>
        <w:tab w:val="center" w:pos="4320"/>
        <w:tab w:val="right" w:pos="8640"/>
      </w:tabs>
    </w:pPr>
    <w:rPr>
      <w:sz w:val="20"/>
      <w:szCs w:val="20"/>
    </w:rPr>
  </w:style>
  <w:style w:type="character" w:styleId="17">
    <w:name w:val="footnote reference"/>
    <w:basedOn w:val="4"/>
    <w:qFormat/>
    <w:uiPriority w:val="0"/>
    <w:rPr>
      <w:vertAlign w:val="superscript"/>
    </w:rPr>
  </w:style>
  <w:style w:type="paragraph" w:styleId="18">
    <w:name w:val="footnote text"/>
    <w:basedOn w:val="1"/>
    <w:link w:val="47"/>
    <w:uiPriority w:val="0"/>
    <w:pPr>
      <w:tabs>
        <w:tab w:val="left" w:pos="360"/>
      </w:tabs>
      <w:ind w:left="360" w:hanging="360"/>
      <w:jc w:val="both"/>
    </w:pPr>
    <w:rPr>
      <w:sz w:val="20"/>
    </w:rPr>
  </w:style>
  <w:style w:type="paragraph" w:styleId="19">
    <w:name w:val="header"/>
    <w:basedOn w:val="1"/>
    <w:link w:val="28"/>
    <w:qFormat/>
    <w:uiPriority w:val="99"/>
    <w:pPr>
      <w:tabs>
        <w:tab w:val="center" w:pos="4320"/>
        <w:tab w:val="right" w:pos="8640"/>
      </w:tabs>
    </w:pPr>
    <w:rPr>
      <w:rFonts w:ascii="Courier New" w:hAnsi="Courier New"/>
      <w:sz w:val="20"/>
      <w:szCs w:val="20"/>
    </w:rPr>
  </w:style>
  <w:style w:type="character" w:styleId="20">
    <w:name w:val="Hyperlink"/>
    <w:basedOn w:val="4"/>
    <w:unhideWhenUsed/>
    <w:qFormat/>
    <w:uiPriority w:val="99"/>
    <w:rPr>
      <w:color w:val="0563C1" w:themeColor="hyperlink"/>
      <w:u w:val="single"/>
      <w14:textFill>
        <w14:solidFill>
          <w14:schemeClr w14:val="hlink"/>
        </w14:solidFill>
      </w14:textFill>
    </w:rPr>
  </w:style>
  <w:style w:type="paragraph" w:styleId="21">
    <w:name w:val="index 1"/>
    <w:basedOn w:val="1"/>
    <w:next w:val="1"/>
    <w:semiHidden/>
    <w:unhideWhenUsed/>
    <w:qFormat/>
    <w:uiPriority w:val="99"/>
    <w:pPr>
      <w:ind w:left="240" w:hanging="240"/>
    </w:pPr>
  </w:style>
  <w:style w:type="paragraph" w:styleId="22">
    <w:name w:val="index heading"/>
    <w:basedOn w:val="1"/>
    <w:next w:val="21"/>
    <w:semiHidden/>
    <w:uiPriority w:val="0"/>
    <w:rPr>
      <w:sz w:val="20"/>
    </w:rPr>
  </w:style>
  <w:style w:type="character" w:styleId="23">
    <w:name w:val="page number"/>
    <w:basedOn w:val="4"/>
    <w:qFormat/>
    <w:uiPriority w:val="0"/>
  </w:style>
  <w:style w:type="table" w:styleId="24">
    <w:name w:val="Table Grid"/>
    <w:basedOn w:val="5"/>
    <w:unhideWhenUsed/>
    <w:qFormat/>
    <w:uiPriority w:val="3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25">
    <w:name w:val="toa heading"/>
    <w:basedOn w:val="1"/>
    <w:next w:val="1"/>
    <w:semiHidden/>
    <w:uiPriority w:val="0"/>
    <w:pPr>
      <w:tabs>
        <w:tab w:val="left" w:pos="9000"/>
        <w:tab w:val="right" w:pos="9360"/>
      </w:tabs>
      <w:suppressAutoHyphens/>
      <w:jc w:val="both"/>
    </w:pPr>
  </w:style>
  <w:style w:type="paragraph" w:styleId="26">
    <w:name w:val="toc 1"/>
    <w:basedOn w:val="1"/>
    <w:next w:val="1"/>
    <w:qFormat/>
    <w:uiPriority w:val="39"/>
    <w:pPr>
      <w:tabs>
        <w:tab w:val="right" w:leader="dot" w:pos="9000"/>
      </w:tabs>
      <w:suppressAutoHyphens/>
      <w:spacing w:before="120" w:after="120"/>
      <w:ind w:left="720" w:right="720"/>
      <w:contextualSpacing/>
    </w:pPr>
    <w:rPr>
      <w:rFonts w:ascii="Times New Roman Bold" w:hAnsi="Times New Roman Bold"/>
      <w:bCs/>
      <w:szCs w:val="28"/>
    </w:rPr>
  </w:style>
  <w:style w:type="character" w:customStyle="1" w:styleId="27">
    <w:name w:val="Footer Char"/>
    <w:basedOn w:val="4"/>
    <w:link w:val="16"/>
    <w:qFormat/>
    <w:uiPriority w:val="99"/>
    <w:rPr>
      <w:rFonts w:ascii="Times New Roman" w:hAnsi="Times New Roman" w:eastAsia="Times New Roman" w:cs="Times New Roman"/>
      <w:sz w:val="20"/>
      <w:szCs w:val="20"/>
    </w:rPr>
  </w:style>
  <w:style w:type="character" w:customStyle="1" w:styleId="28">
    <w:name w:val="Header Char"/>
    <w:basedOn w:val="4"/>
    <w:link w:val="19"/>
    <w:qFormat/>
    <w:uiPriority w:val="99"/>
    <w:rPr>
      <w:rFonts w:ascii="Courier New" w:hAnsi="Courier New" w:eastAsia="Times New Roman" w:cs="Times New Roman"/>
      <w:sz w:val="20"/>
      <w:szCs w:val="20"/>
    </w:rPr>
  </w:style>
  <w:style w:type="paragraph" w:customStyle="1" w:styleId="29">
    <w:name w:val="Outline"/>
    <w:basedOn w:val="1"/>
    <w:qFormat/>
    <w:uiPriority w:val="0"/>
    <w:pPr>
      <w:spacing w:before="240"/>
    </w:pPr>
    <w:rPr>
      <w:kern w:val="28"/>
      <w:szCs w:val="20"/>
    </w:rPr>
  </w:style>
  <w:style w:type="paragraph" w:customStyle="1" w:styleId="30">
    <w:name w:val="Table Paragraph"/>
    <w:basedOn w:val="1"/>
    <w:qFormat/>
    <w:uiPriority w:val="0"/>
    <w:pPr>
      <w:widowControl w:val="0"/>
      <w:autoSpaceDE w:val="0"/>
      <w:autoSpaceDN w:val="0"/>
    </w:pPr>
    <w:rPr>
      <w:rFonts w:ascii="Arial" w:hAnsi="Arial" w:eastAsia="Arial" w:cs="Arial"/>
      <w:sz w:val="22"/>
      <w:szCs w:val="22"/>
    </w:rPr>
  </w:style>
  <w:style w:type="paragraph" w:styleId="31">
    <w:name w:val="List Paragraph"/>
    <w:basedOn w:val="1"/>
    <w:link w:val="44"/>
    <w:qFormat/>
    <w:uiPriority w:val="34"/>
    <w:pPr>
      <w:spacing w:after="200" w:line="276" w:lineRule="auto"/>
      <w:ind w:left="720"/>
      <w:contextualSpacing/>
    </w:pPr>
    <w:rPr>
      <w:rFonts w:asciiTheme="minorHAnsi" w:hAnsiTheme="minorHAnsi" w:eastAsiaTheme="minorHAnsi" w:cstheme="minorBidi"/>
      <w:sz w:val="22"/>
      <w:szCs w:val="22"/>
      <w:lang w:val="en-IN"/>
    </w:rPr>
  </w:style>
  <w:style w:type="paragraph" w:customStyle="1" w:styleId="32">
    <w:name w:val="BankNormal"/>
    <w:basedOn w:val="1"/>
    <w:qFormat/>
    <w:uiPriority w:val="0"/>
    <w:pPr>
      <w:spacing w:after="240"/>
    </w:pPr>
    <w:rPr>
      <w:szCs w:val="20"/>
    </w:rPr>
  </w:style>
  <w:style w:type="character" w:customStyle="1" w:styleId="33">
    <w:name w:val="Balloon Text Char"/>
    <w:basedOn w:val="4"/>
    <w:link w:val="6"/>
    <w:semiHidden/>
    <w:qFormat/>
    <w:uiPriority w:val="99"/>
    <w:rPr>
      <w:rFonts w:ascii="Segoe UI" w:hAnsi="Segoe UI" w:eastAsia="Times New Roman" w:cs="Segoe UI"/>
      <w:sz w:val="18"/>
      <w:szCs w:val="18"/>
    </w:rPr>
  </w:style>
  <w:style w:type="character" w:customStyle="1" w:styleId="34">
    <w:name w:val="Comment Text Char"/>
    <w:basedOn w:val="4"/>
    <w:link w:val="11"/>
    <w:qFormat/>
    <w:uiPriority w:val="99"/>
    <w:rPr>
      <w:rFonts w:ascii="Times New Roman" w:hAnsi="Times New Roman" w:eastAsia="Times New Roman" w:cs="Times New Roman"/>
      <w:sz w:val="20"/>
      <w:szCs w:val="20"/>
    </w:rPr>
  </w:style>
  <w:style w:type="character" w:customStyle="1" w:styleId="35">
    <w:name w:val="Comment Subject Char"/>
    <w:basedOn w:val="34"/>
    <w:link w:val="12"/>
    <w:semiHidden/>
    <w:qFormat/>
    <w:uiPriority w:val="99"/>
    <w:rPr>
      <w:rFonts w:ascii="Times New Roman" w:hAnsi="Times New Roman" w:eastAsia="Times New Roman" w:cs="Times New Roman"/>
      <w:b/>
      <w:bCs/>
      <w:sz w:val="20"/>
      <w:szCs w:val="20"/>
    </w:rPr>
  </w:style>
  <w:style w:type="paragraph" w:customStyle="1" w:styleId="36">
    <w:name w:val="Default"/>
    <w:link w:val="45"/>
    <w:qForma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en-US" w:eastAsia="en-US" w:bidi="ar-SA"/>
    </w:rPr>
  </w:style>
  <w:style w:type="paragraph" w:customStyle="1" w:styleId="37">
    <w:name w:val="Revision"/>
    <w:hidden/>
    <w:semiHidden/>
    <w:qFormat/>
    <w:uiPriority w:val="99"/>
    <w:pPr>
      <w:spacing w:after="0" w:line="240" w:lineRule="auto"/>
    </w:pPr>
    <w:rPr>
      <w:rFonts w:ascii="Times New Roman" w:hAnsi="Times New Roman" w:eastAsia="Times New Roman" w:cs="Times New Roman"/>
      <w:sz w:val="24"/>
      <w:szCs w:val="24"/>
      <w:lang w:val="en-US" w:eastAsia="en-US" w:bidi="ar-SA"/>
    </w:rPr>
  </w:style>
  <w:style w:type="paragraph" w:customStyle="1" w:styleId="38">
    <w:name w:val="Section 1 Header 1"/>
    <w:basedOn w:val="8"/>
    <w:link w:val="39"/>
    <w:qFormat/>
    <w:uiPriority w:val="0"/>
    <w:pPr>
      <w:suppressAutoHyphens/>
      <w:spacing w:before="120" w:after="200" w:line="240" w:lineRule="auto"/>
      <w:jc w:val="center"/>
    </w:pPr>
    <w:rPr>
      <w:b/>
      <w:bCs/>
      <w:iCs/>
      <w:sz w:val="28"/>
    </w:rPr>
  </w:style>
  <w:style w:type="character" w:customStyle="1" w:styleId="39">
    <w:name w:val="Section 1 Header 1 Char"/>
    <w:basedOn w:val="40"/>
    <w:link w:val="38"/>
    <w:qFormat/>
    <w:uiPriority w:val="0"/>
    <w:rPr>
      <w:rFonts w:ascii="Times New Roman" w:hAnsi="Times New Roman" w:eastAsia="Times New Roman" w:cs="Times New Roman"/>
      <w:b/>
      <w:bCs/>
      <w:iCs/>
      <w:sz w:val="28"/>
      <w:szCs w:val="24"/>
    </w:rPr>
  </w:style>
  <w:style w:type="character" w:customStyle="1" w:styleId="40">
    <w:name w:val="Body Text 2 Char"/>
    <w:basedOn w:val="4"/>
    <w:link w:val="8"/>
    <w:semiHidden/>
    <w:qFormat/>
    <w:uiPriority w:val="99"/>
    <w:rPr>
      <w:rFonts w:ascii="Times New Roman" w:hAnsi="Times New Roman" w:eastAsia="Times New Roman" w:cs="Times New Roman"/>
      <w:sz w:val="24"/>
      <w:szCs w:val="24"/>
    </w:rPr>
  </w:style>
  <w:style w:type="table" w:customStyle="1" w:styleId="41">
    <w:name w:val="TableGrid"/>
    <w:qFormat/>
    <w:uiPriority w:val="0"/>
    <w:pPr>
      <w:spacing w:after="0" w:line="240" w:lineRule="auto"/>
    </w:pPr>
    <w:rPr>
      <w:rFonts w:eastAsiaTheme="minorEastAsia"/>
      <w:lang w:val="en-IN" w:eastAsia="en-IN"/>
    </w:rPr>
    <w:tblPr>
      <w:tblCellMar>
        <w:top w:w="0" w:type="dxa"/>
        <w:left w:w="0" w:type="dxa"/>
        <w:bottom w:w="0" w:type="dxa"/>
        <w:right w:w="0" w:type="dxa"/>
      </w:tblCellMar>
    </w:tblPr>
  </w:style>
  <w:style w:type="character" w:customStyle="1" w:styleId="42">
    <w:name w:val="Heading 2 Char"/>
    <w:basedOn w:val="4"/>
    <w:link w:val="2"/>
    <w:qFormat/>
    <w:uiPriority w:val="99"/>
    <w:rPr>
      <w:rFonts w:ascii="Times New Roman Bold" w:hAnsi="Times New Roman Bold" w:eastAsia="Times New Roman" w:cs="Times New Roman"/>
      <w:b/>
      <w:sz w:val="28"/>
      <w:szCs w:val="24"/>
    </w:rPr>
  </w:style>
  <w:style w:type="character" w:customStyle="1" w:styleId="43">
    <w:name w:val="Caption Char1"/>
    <w:link w:val="9"/>
    <w:qFormat/>
    <w:uiPriority w:val="0"/>
    <w:rPr>
      <w:rFonts w:ascii="Arial Narrow" w:hAnsi="Arial Narrow" w:eastAsia="Calibri" w:cs="Times New Roman"/>
      <w:i/>
      <w:iCs/>
      <w:color w:val="44546A" w:themeColor="text2"/>
      <w:sz w:val="18"/>
      <w:szCs w:val="18"/>
      <w:lang w:val="en-IN"/>
      <w14:textFill>
        <w14:solidFill>
          <w14:schemeClr w14:val="tx2"/>
        </w14:solidFill>
      </w14:textFill>
    </w:rPr>
  </w:style>
  <w:style w:type="character" w:customStyle="1" w:styleId="44">
    <w:name w:val="List Paragraph Char"/>
    <w:basedOn w:val="4"/>
    <w:link w:val="31"/>
    <w:qFormat/>
    <w:locked/>
    <w:uiPriority w:val="34"/>
    <w:rPr>
      <w:lang w:val="en-IN"/>
    </w:rPr>
  </w:style>
  <w:style w:type="character" w:customStyle="1" w:styleId="45">
    <w:name w:val="Default Char"/>
    <w:link w:val="36"/>
    <w:qFormat/>
    <w:uiPriority w:val="0"/>
    <w:rPr>
      <w:rFonts w:ascii="Times New Roman" w:hAnsi="Times New Roman" w:cs="Times New Roman"/>
      <w:color w:val="000000"/>
      <w:sz w:val="24"/>
      <w:szCs w:val="24"/>
    </w:rPr>
  </w:style>
  <w:style w:type="paragraph" w:customStyle="1" w:styleId="46">
    <w:name w:val="Style 11"/>
    <w:basedOn w:val="1"/>
    <w:qFormat/>
    <w:uiPriority w:val="0"/>
    <w:pPr>
      <w:widowControl w:val="0"/>
      <w:autoSpaceDE w:val="0"/>
      <w:autoSpaceDN w:val="0"/>
      <w:spacing w:line="384" w:lineRule="atLeast"/>
    </w:pPr>
  </w:style>
  <w:style w:type="character" w:customStyle="1" w:styleId="47">
    <w:name w:val="Footnote Text Char"/>
    <w:basedOn w:val="4"/>
    <w:link w:val="18"/>
    <w:qFormat/>
    <w:uiPriority w:val="0"/>
    <w:rPr>
      <w:rFonts w:ascii="Times New Roman" w:hAnsi="Times New Roman" w:eastAsia="Times New Roman" w:cs="Times New Roman"/>
      <w:sz w:val="20"/>
      <w:szCs w:val="24"/>
    </w:rPr>
  </w:style>
  <w:style w:type="character" w:customStyle="1" w:styleId="48">
    <w:name w:val="Endnote Text Char"/>
    <w:basedOn w:val="4"/>
    <w:link w:val="14"/>
    <w:semiHidden/>
    <w:uiPriority w:val="99"/>
    <w:rPr>
      <w:rFonts w:ascii="Times New Roman" w:hAnsi="Times New Roman" w:eastAsia="Times New Roman" w:cs="Times New Roman"/>
      <w:sz w:val="20"/>
      <w:szCs w:val="20"/>
    </w:rPr>
  </w:style>
  <w:style w:type="paragraph" w:customStyle="1" w:styleId="49">
    <w:name w:val="xl65"/>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b/>
      <w:bCs/>
      <w:sz w:val="20"/>
      <w:szCs w:val="20"/>
    </w:rPr>
  </w:style>
  <w:style w:type="paragraph" w:customStyle="1" w:styleId="50">
    <w:name w:val="xl66"/>
    <w:basedOn w:val="1"/>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sz w:val="20"/>
      <w:szCs w:val="20"/>
    </w:rPr>
  </w:style>
  <w:style w:type="paragraph" w:customStyle="1" w:styleId="51">
    <w:name w:val="xl67"/>
    <w:basedOn w:val="1"/>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sz w:val="20"/>
      <w:szCs w:val="20"/>
    </w:rPr>
  </w:style>
  <w:style w:type="paragraph" w:customStyle="1" w:styleId="52">
    <w:name w:val="Section V. Header"/>
    <w:basedOn w:val="1"/>
    <w:qFormat/>
    <w:uiPriority w:val="99"/>
    <w:pPr>
      <w:jc w:val="center"/>
    </w:pPr>
    <w:rPr>
      <w:b/>
      <w:sz w:val="36"/>
    </w:rPr>
  </w:style>
  <w:style w:type="paragraph" w:customStyle="1" w:styleId="53">
    <w:name w:val="Section V. Heading 2"/>
    <w:basedOn w:val="52"/>
    <w:uiPriority w:val="0"/>
    <w:pPr>
      <w:spacing w:before="120" w:after="200"/>
    </w:pPr>
    <w:rPr>
      <w:sz w:val="28"/>
    </w:rPr>
  </w:style>
  <w:style w:type="paragraph" w:customStyle="1" w:styleId="54">
    <w:name w:val="Document 1"/>
    <w:qFormat/>
    <w:uiPriority w:val="0"/>
    <w:pPr>
      <w:keepNext/>
      <w:keepLines/>
      <w:tabs>
        <w:tab w:val="left" w:pos="-720"/>
      </w:tabs>
      <w:suppressAutoHyphens/>
      <w:spacing w:after="0" w:line="240" w:lineRule="auto"/>
    </w:pPr>
    <w:rPr>
      <w:rFonts w:ascii="Times" w:hAnsi="Times" w:eastAsia="Times New Roman" w:cs="Times New Roman"/>
      <w:sz w:val="24"/>
      <w:szCs w:val="24"/>
      <w:lang w:val="en-US" w:eastAsia="en-US" w:bidi="ar-SA"/>
    </w:rPr>
  </w:style>
  <w:style w:type="paragraph" w:customStyle="1" w:styleId="55">
    <w:name w:val="Technical 4"/>
    <w:qFormat/>
    <w:uiPriority w:val="0"/>
    <w:pPr>
      <w:tabs>
        <w:tab w:val="left" w:pos="-720"/>
      </w:tabs>
      <w:suppressAutoHyphens/>
      <w:spacing w:after="0" w:line="240" w:lineRule="auto"/>
    </w:pPr>
    <w:rPr>
      <w:rFonts w:ascii="Times" w:hAnsi="Times" w:eastAsia="Times New Roman" w:cs="Times New Roman"/>
      <w:b/>
      <w:sz w:val="24"/>
      <w:szCs w:val="24"/>
      <w:lang w:val="en-US" w:eastAsia="en-US" w:bidi="ar-SA"/>
    </w:rPr>
  </w:style>
  <w:style w:type="character" w:customStyle="1" w:styleId="56">
    <w:name w:val="Body Text Char"/>
    <w:basedOn w:val="4"/>
    <w:link w:val="7"/>
    <w:semiHidden/>
    <w:qFormat/>
    <w:uiPriority w:val="99"/>
    <w:rPr>
      <w:rFonts w:ascii="Times New Roman" w:hAnsi="Times New Roman" w:eastAsia="Times New Roman" w:cs="Times New Roman"/>
      <w:sz w:val="24"/>
      <w:szCs w:val="24"/>
    </w:rPr>
  </w:style>
  <w:style w:type="character" w:customStyle="1" w:styleId="57">
    <w:name w:val="Heading 9 Char"/>
    <w:basedOn w:val="4"/>
    <w:link w:val="3"/>
    <w:qFormat/>
    <w:uiPriority w:val="0"/>
    <w:rPr>
      <w:rFonts w:ascii="Arial" w:hAnsi="Arial" w:eastAsia="Times New Roman" w:cs="Times New Roman"/>
      <w:b/>
      <w:i/>
      <w:sz w:val="18"/>
      <w:szCs w:val="24"/>
    </w:rPr>
  </w:style>
  <w:style w:type="paragraph" w:customStyle="1" w:styleId="58">
    <w:name w:val="P3 Header1-Clauses"/>
    <w:basedOn w:val="1"/>
    <w:qFormat/>
    <w:uiPriority w:val="0"/>
    <w:pPr>
      <w:numPr>
        <w:ilvl w:val="2"/>
        <w:numId w:val="1"/>
      </w:numPr>
      <w:tabs>
        <w:tab w:val="left" w:pos="972"/>
      </w:tabs>
      <w:spacing w:after="200"/>
      <w:jc w:val="both"/>
    </w:pPr>
  </w:style>
  <w:style w:type="paragraph" w:customStyle="1" w:styleId="59">
    <w:name w:val="Style Header 1 - Clauses + After:  0 pt"/>
    <w:basedOn w:val="1"/>
    <w:qFormat/>
    <w:uiPriority w:val="0"/>
    <w:pPr>
      <w:spacing w:after="200"/>
      <w:jc w:val="both"/>
    </w:pPr>
    <w:rPr>
      <w:bCs/>
    </w:rPr>
  </w:style>
  <w:style w:type="paragraph" w:customStyle="1" w:styleId="60">
    <w:name w:val="Section VI Header"/>
    <w:basedOn w:val="52"/>
    <w:qFormat/>
    <w:uiPriority w:val="0"/>
    <w:rPr>
      <w:lang w:val="en-US"/>
    </w:rPr>
  </w:style>
  <w:style w:type="paragraph" w:customStyle="1" w:styleId="61">
    <w:name w:val="Section 4 heading"/>
    <w:basedOn w:val="1"/>
    <w:next w:val="1"/>
    <w:qFormat/>
    <w:uiPriority w:val="0"/>
    <w:pPr>
      <w:widowControl w:val="0"/>
      <w:tabs>
        <w:tab w:val="left" w:leader="dot" w:pos="8748"/>
      </w:tabs>
      <w:autoSpaceDE w:val="0"/>
      <w:autoSpaceDN w:val="0"/>
      <w:spacing w:after="240"/>
      <w:jc w:val="center"/>
    </w:pPr>
    <w:rPr>
      <w:b/>
      <w:sz w:val="36"/>
    </w:rPr>
  </w:style>
  <w:style w:type="paragraph" w:customStyle="1" w:styleId="62">
    <w:name w:val="Style 19"/>
    <w:basedOn w:val="1"/>
    <w:qFormat/>
    <w:uiPriority w:val="0"/>
    <w:pPr>
      <w:widowControl w:val="0"/>
      <w:autoSpaceDE w:val="0"/>
      <w:autoSpaceDN w:val="0"/>
      <w:adjustRightInd w:val="0"/>
    </w:pPr>
  </w:style>
  <w:style w:type="paragraph" w:customStyle="1" w:styleId="63">
    <w:name w:val="Style 20"/>
    <w:basedOn w:val="1"/>
    <w:uiPriority w:val="0"/>
    <w:pPr>
      <w:widowControl w:val="0"/>
      <w:autoSpaceDE w:val="0"/>
      <w:autoSpaceDN w:val="0"/>
      <w:spacing w:before="144" w:after="360" w:line="264" w:lineRule="exact"/>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07616C-BA51-41BB-A055-F7EC076C4704}">
  <ds:schemaRefs/>
</ds:datastoreItem>
</file>

<file path=docProps/app.xml><?xml version="1.0" encoding="utf-8"?>
<Properties xmlns="http://schemas.openxmlformats.org/officeDocument/2006/extended-properties" xmlns:vt="http://schemas.openxmlformats.org/officeDocument/2006/docPropsVTypes">
  <Template>Normal</Template>
  <Pages>5</Pages>
  <Words>1994</Words>
  <Characters>11367</Characters>
  <Lines>94</Lines>
  <Paragraphs>26</Paragraphs>
  <TotalTime>0</TotalTime>
  <ScaleCrop>false</ScaleCrop>
  <LinksUpToDate>false</LinksUpToDate>
  <CharactersWithSpaces>13335</CharactersWithSpaces>
  <Application>WPS Office_11.2.0.10443_F1E327BC-269C-435d-A152-05C5408002CA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2021-02-04T11:47:00Z</dcterms:created>
  <dc:creator>Jurminla Jurminla</dc:creator>
  <cp:lastModifiedBy>vpm</cp:lastModifiedBy>
  <cp:lastPrinted>2021-12-24T09:02:00Z</cp:lastPrinted>
  <dcterms:modified xsi:type="dcterms:W3CDTF">2022-01-15T05:53:38Z</dcterms:modified>
  <cp:revision>1187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2020-10-05T10:16:57Z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d54a3dc1-c799-463a-8731-23d92ea336ef</vt:lpwstr>
  </property>
  <property fmtid="{D5CDD505-2E9C-101B-9397-08002B2CF9AE}" pid="8" name="MSIP_Label_2b41c926-a14a-41de-ac3f-1745125a8630_ContentBits">
    <vt:lpwstr>1</vt:lpwstr>
  </property>
  <property fmtid="{D5CDD505-2E9C-101B-9397-08002B2CF9AE}" pid="9" name="KSOProductBuildVer">
    <vt:lpwstr>1033-11.2.0.10443</vt:lpwstr>
  </property>
  <property fmtid="{D5CDD505-2E9C-101B-9397-08002B2CF9AE}" pid="10" name="ICV">
    <vt:lpwstr>4ED34506745447E59EF9CB1F75098B2B</vt:lpwstr>
  </property>
</Properties>
</file>