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BB142" w14:textId="77777777" w:rsidR="00AB760B" w:rsidRPr="00AB760B" w:rsidRDefault="00AB760B" w:rsidP="00BE79B8">
      <w:pPr>
        <w:pStyle w:val="BodyTextIndent2"/>
        <w:tabs>
          <w:tab w:val="left" w:pos="774"/>
        </w:tabs>
        <w:spacing w:after="240"/>
        <w:ind w:left="584" w:firstLine="0"/>
        <w:jc w:val="center"/>
        <w:rPr>
          <w:rFonts w:eastAsiaTheme="minorHAnsi"/>
          <w:b/>
        </w:rPr>
      </w:pPr>
      <w:r w:rsidRPr="00AB760B">
        <w:rPr>
          <w:rFonts w:eastAsiaTheme="minorHAnsi"/>
          <w:b/>
        </w:rPr>
        <w:t>BWSP/QCBS-S/02</w:t>
      </w:r>
      <w:r>
        <w:rPr>
          <w:rFonts w:eastAsiaTheme="minorHAnsi"/>
          <w:b/>
        </w:rPr>
        <w:t xml:space="preserve"> </w:t>
      </w:r>
      <w:r w:rsidRPr="00AB760B">
        <w:rPr>
          <w:rFonts w:eastAsiaTheme="minorHAnsi"/>
          <w:b/>
        </w:rPr>
        <w:t>Contract Award Notice</w:t>
      </w:r>
    </w:p>
    <w:p w14:paraId="655BE9B2" w14:textId="77777777" w:rsidR="00AB760B" w:rsidRPr="00AB760B" w:rsidRDefault="00AB760B" w:rsidP="00AB760B">
      <w:pPr>
        <w:tabs>
          <w:tab w:val="left" w:pos="567"/>
          <w:tab w:val="right" w:pos="7306"/>
        </w:tabs>
        <w:spacing w:before="120" w:after="120"/>
        <w:ind w:left="567" w:hanging="567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AB76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Name of the Client: </w:t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>JSC “Uzsuvtaminot”</w:t>
      </w:r>
    </w:p>
    <w:p w14:paraId="12213EC3" w14:textId="77777777" w:rsidR="00AB760B" w:rsidRPr="00AB760B" w:rsidRDefault="00AB760B" w:rsidP="00AB760B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AB76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address: </w:t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>Republic of Uzbekistan, Tashkent city, Niyozbek yuli str. 1.</w:t>
      </w:r>
    </w:p>
    <w:p w14:paraId="2071844D" w14:textId="77777777" w:rsidR="00AB760B" w:rsidRPr="00AB760B" w:rsidRDefault="00AB760B" w:rsidP="00AB760B">
      <w:pPr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AB760B">
        <w:rPr>
          <w:rFonts w:ascii="Times New Roman" w:hAnsi="Times New Roman" w:cs="Times New Roman"/>
          <w:b/>
          <w:sz w:val="24"/>
          <w:szCs w:val="24"/>
          <w:lang w:val="en-US"/>
        </w:rPr>
        <w:t>Contract name:</w:t>
      </w:r>
      <w:r w:rsidRPr="00AB760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>BWSP/QCBS-S/02 “Development of a detailed design and estimate documentation for construction works by sewerage system”</w:t>
      </w:r>
    </w:p>
    <w:p w14:paraId="3DED400F" w14:textId="77777777" w:rsidR="00AB760B" w:rsidRPr="00AB760B" w:rsidRDefault="00AB760B" w:rsidP="00AB760B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AB760B">
        <w:rPr>
          <w:rFonts w:ascii="Times New Roman" w:hAnsi="Times New Roman" w:cs="Times New Roman"/>
          <w:b/>
          <w:sz w:val="24"/>
          <w:szCs w:val="24"/>
          <w:lang w:val="en-US"/>
        </w:rPr>
        <w:t>Method of Selection</w:t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>: QCBS</w:t>
      </w:r>
    </w:p>
    <w:p w14:paraId="51BF613B" w14:textId="77777777" w:rsidR="00AB760B" w:rsidRPr="00AB760B" w:rsidRDefault="00AB760B" w:rsidP="00AB760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B760B">
        <w:rPr>
          <w:rFonts w:ascii="Times New Roman" w:hAnsi="Times New Roman" w:cs="Times New Roman"/>
          <w:b/>
          <w:sz w:val="24"/>
          <w:szCs w:val="24"/>
          <w:lang w:val="en-US"/>
        </w:rPr>
        <w:t>Consultants that submitted proposals: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58"/>
        <w:gridCol w:w="5633"/>
        <w:gridCol w:w="3260"/>
      </w:tblGrid>
      <w:tr w:rsidR="00AB760B" w:rsidRPr="00AB760B" w14:paraId="57522739" w14:textId="77777777" w:rsidTr="00BE79B8">
        <w:tc>
          <w:tcPr>
            <w:tcW w:w="458" w:type="dxa"/>
          </w:tcPr>
          <w:p w14:paraId="3601EFD9" w14:textId="77777777" w:rsidR="00AB760B" w:rsidRPr="00AB760B" w:rsidRDefault="00AB760B" w:rsidP="002E6CE2">
            <w:pPr>
              <w:jc w:val="both"/>
              <w:rPr>
                <w:b/>
                <w:sz w:val="24"/>
                <w:szCs w:val="24"/>
                <w:lang w:val="uz-Cyrl-UZ"/>
              </w:rPr>
            </w:pPr>
            <w:r w:rsidRPr="00AB760B">
              <w:rPr>
                <w:b/>
                <w:sz w:val="24"/>
                <w:szCs w:val="24"/>
                <w:lang w:val="uz-Cyrl-UZ"/>
              </w:rPr>
              <w:t>№</w:t>
            </w:r>
          </w:p>
        </w:tc>
        <w:tc>
          <w:tcPr>
            <w:tcW w:w="5633" w:type="dxa"/>
          </w:tcPr>
          <w:p w14:paraId="035B2264" w14:textId="77777777" w:rsidR="00AB760B" w:rsidRPr="00AB760B" w:rsidRDefault="00AB760B" w:rsidP="002E6CE2">
            <w:pPr>
              <w:jc w:val="both"/>
              <w:rPr>
                <w:b/>
                <w:sz w:val="24"/>
                <w:szCs w:val="24"/>
                <w:lang w:val="uz-Cyrl-UZ"/>
              </w:rPr>
            </w:pPr>
            <w:r w:rsidRPr="00AB760B">
              <w:rPr>
                <w:b/>
                <w:sz w:val="24"/>
                <w:szCs w:val="24"/>
                <w:lang w:val="uz-Cyrl-UZ"/>
              </w:rPr>
              <w:t>Selection participant</w:t>
            </w:r>
          </w:p>
        </w:tc>
        <w:tc>
          <w:tcPr>
            <w:tcW w:w="3260" w:type="dxa"/>
          </w:tcPr>
          <w:p w14:paraId="5A42FF8A" w14:textId="77777777" w:rsidR="00AB760B" w:rsidRPr="00AB760B" w:rsidRDefault="00AB760B" w:rsidP="002E6CE2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AB760B">
              <w:rPr>
                <w:b/>
                <w:sz w:val="24"/>
                <w:szCs w:val="24"/>
                <w:lang w:val="en-US"/>
              </w:rPr>
              <w:t xml:space="preserve">Financial Proposal </w:t>
            </w:r>
          </w:p>
        </w:tc>
      </w:tr>
      <w:tr w:rsidR="00AB760B" w:rsidRPr="00AB760B" w14:paraId="61E982AE" w14:textId="77777777" w:rsidTr="00BE79B8">
        <w:tc>
          <w:tcPr>
            <w:tcW w:w="458" w:type="dxa"/>
          </w:tcPr>
          <w:p w14:paraId="05B7AA99" w14:textId="77777777" w:rsidR="00AB760B" w:rsidRPr="00AB760B" w:rsidRDefault="00AB760B" w:rsidP="00AB760B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>1</w:t>
            </w:r>
          </w:p>
        </w:tc>
        <w:tc>
          <w:tcPr>
            <w:tcW w:w="5633" w:type="dxa"/>
          </w:tcPr>
          <w:p w14:paraId="721870D8" w14:textId="77777777" w:rsidR="00AB760B" w:rsidRPr="00AB760B" w:rsidRDefault="00AB760B" w:rsidP="00AB760B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en-US"/>
              </w:rPr>
              <w:t>Consortium</w:t>
            </w:r>
            <w:r w:rsidRPr="00AB760B">
              <w:rPr>
                <w:sz w:val="24"/>
                <w:szCs w:val="24"/>
                <w:lang w:val="uz-Cyrl-UZ"/>
              </w:rPr>
              <w:t xml:space="preserve"> Nicholas O’Dwyer Ltd., Eurasian Consulting and Engineering Services LLC, Engineering Asia Group</w:t>
            </w:r>
          </w:p>
        </w:tc>
        <w:tc>
          <w:tcPr>
            <w:tcW w:w="3260" w:type="dxa"/>
          </w:tcPr>
          <w:p w14:paraId="2EADF054" w14:textId="77777777" w:rsidR="00AB760B" w:rsidRPr="00AB760B" w:rsidRDefault="00AB760B" w:rsidP="00BE79B8">
            <w:pPr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 xml:space="preserve">1 371 500 </w:t>
            </w:r>
            <w:r w:rsidRPr="00AB760B">
              <w:rPr>
                <w:sz w:val="24"/>
                <w:szCs w:val="24"/>
                <w:lang w:val="en-US"/>
              </w:rPr>
              <w:t>EURO</w:t>
            </w:r>
            <w:r w:rsidRPr="00AB760B">
              <w:rPr>
                <w:sz w:val="24"/>
                <w:szCs w:val="24"/>
                <w:lang w:val="uz-Cyrl-UZ"/>
              </w:rPr>
              <w:t xml:space="preserve"> + 4 544 200 USD excluding VAT and other specified taxes (taxes </w:t>
            </w:r>
            <w:r w:rsidR="00BE79B8">
              <w:rPr>
                <w:sz w:val="24"/>
                <w:szCs w:val="24"/>
                <w:lang w:val="uz-Cyrl-UZ"/>
              </w:rPr>
              <w:br/>
            </w:r>
            <w:r w:rsidRPr="00AB760B">
              <w:rPr>
                <w:sz w:val="24"/>
                <w:szCs w:val="24"/>
                <w:lang w:val="uz-Cyrl-UZ"/>
              </w:rPr>
              <w:t xml:space="preserve">1 326 569,23 </w:t>
            </w:r>
            <w:r w:rsidRPr="00AB760B">
              <w:rPr>
                <w:sz w:val="24"/>
                <w:szCs w:val="24"/>
                <w:lang w:val="en-US"/>
              </w:rPr>
              <w:t>USD</w:t>
            </w:r>
            <w:r w:rsidRPr="00AB760B">
              <w:rPr>
                <w:sz w:val="24"/>
                <w:szCs w:val="24"/>
                <w:lang w:val="uz-Cyrl-UZ"/>
              </w:rPr>
              <w:t>)</w:t>
            </w:r>
          </w:p>
        </w:tc>
      </w:tr>
      <w:tr w:rsidR="00AB760B" w:rsidRPr="00AB760B" w14:paraId="0FA7AFDF" w14:textId="77777777" w:rsidTr="00BE79B8">
        <w:tc>
          <w:tcPr>
            <w:tcW w:w="458" w:type="dxa"/>
          </w:tcPr>
          <w:p w14:paraId="564747F1" w14:textId="77777777" w:rsidR="00AB760B" w:rsidRPr="00AB760B" w:rsidRDefault="00AB760B" w:rsidP="00AB760B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>2</w:t>
            </w:r>
          </w:p>
        </w:tc>
        <w:tc>
          <w:tcPr>
            <w:tcW w:w="5633" w:type="dxa"/>
          </w:tcPr>
          <w:p w14:paraId="079FD6A0" w14:textId="77777777" w:rsidR="00AB760B" w:rsidRPr="00AB760B" w:rsidRDefault="00AB760B" w:rsidP="00AB760B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en-US"/>
              </w:rPr>
              <w:t>Consortium</w:t>
            </w:r>
            <w:r w:rsidRPr="00AB760B">
              <w:rPr>
                <w:sz w:val="24"/>
                <w:szCs w:val="24"/>
                <w:lang w:val="uz-Cyrl-UZ"/>
              </w:rPr>
              <w:t xml:space="preserve"> Kunhwa Engineering &amp; Consulting Co., Ltd., Dohwa Engineering Co., Ltd., Aykan-Invest Co., Memorqurilish Loyiha</w:t>
            </w:r>
          </w:p>
        </w:tc>
        <w:tc>
          <w:tcPr>
            <w:tcW w:w="3260" w:type="dxa"/>
          </w:tcPr>
          <w:p w14:paraId="19F96516" w14:textId="77777777" w:rsidR="00AB760B" w:rsidRPr="00AB760B" w:rsidRDefault="00AB760B" w:rsidP="00AB760B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 xml:space="preserve">5 286 000 USD excluding VAT and other specified taxes (taxes 850 500 </w:t>
            </w:r>
            <w:r w:rsidRPr="00AB760B">
              <w:rPr>
                <w:sz w:val="24"/>
                <w:szCs w:val="24"/>
                <w:lang w:val="en-US"/>
              </w:rPr>
              <w:t>USD</w:t>
            </w:r>
            <w:r w:rsidRPr="00AB760B">
              <w:rPr>
                <w:sz w:val="24"/>
                <w:szCs w:val="24"/>
                <w:lang w:val="uz-Cyrl-UZ"/>
              </w:rPr>
              <w:t>)</w:t>
            </w:r>
          </w:p>
        </w:tc>
      </w:tr>
      <w:tr w:rsidR="00AB760B" w:rsidRPr="00AB760B" w14:paraId="3634EDB7" w14:textId="77777777" w:rsidTr="00BE79B8">
        <w:tc>
          <w:tcPr>
            <w:tcW w:w="458" w:type="dxa"/>
          </w:tcPr>
          <w:p w14:paraId="2F12BE4D" w14:textId="77777777" w:rsidR="00AB760B" w:rsidRPr="00AB760B" w:rsidRDefault="00AB760B" w:rsidP="00AB760B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>3</w:t>
            </w:r>
          </w:p>
        </w:tc>
        <w:tc>
          <w:tcPr>
            <w:tcW w:w="5633" w:type="dxa"/>
          </w:tcPr>
          <w:p w14:paraId="7D1B63F7" w14:textId="77777777" w:rsidR="00AB760B" w:rsidRPr="00AB760B" w:rsidRDefault="00AB760B" w:rsidP="00AB760B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>Consortium Cheil Engineering Co., Ltd., Dong Myeong Engineering Consultants &amp; Architecture Co. Ltd., LLC «</w:t>
            </w:r>
            <w:r w:rsidRPr="00AB760B">
              <w:rPr>
                <w:sz w:val="24"/>
                <w:szCs w:val="24"/>
                <w:lang w:val="en-US"/>
              </w:rPr>
              <w:t>Takhnik Story Trans</w:t>
            </w:r>
            <w:r w:rsidRPr="00AB760B">
              <w:rPr>
                <w:sz w:val="24"/>
                <w:szCs w:val="24"/>
                <w:lang w:val="uz-Cyrl-UZ"/>
              </w:rPr>
              <w:t>», LLC «Текспроектстрой Сервис», LLC «Arxstroyproekt</w:t>
            </w:r>
            <w:r w:rsidRPr="00AB760B">
              <w:rPr>
                <w:sz w:val="24"/>
                <w:szCs w:val="24"/>
                <w:lang w:val="en-US"/>
              </w:rPr>
              <w:t xml:space="preserve"> Plyus</w:t>
            </w:r>
            <w:r w:rsidRPr="00AB760B">
              <w:rPr>
                <w:sz w:val="24"/>
                <w:szCs w:val="24"/>
                <w:lang w:val="uz-Cyrl-UZ"/>
              </w:rPr>
              <w:t>»</w:t>
            </w:r>
          </w:p>
        </w:tc>
        <w:tc>
          <w:tcPr>
            <w:tcW w:w="3260" w:type="dxa"/>
          </w:tcPr>
          <w:p w14:paraId="1ED6EC53" w14:textId="77777777" w:rsidR="00AB760B" w:rsidRPr="00AB760B" w:rsidRDefault="00AB760B" w:rsidP="00AB760B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>5 472 296 USD excluding VAT and other specified taxes (taxes</w:t>
            </w:r>
            <w:r w:rsidRPr="00AB760B">
              <w:rPr>
                <w:sz w:val="24"/>
                <w:szCs w:val="24"/>
                <w:lang w:val="en-US"/>
              </w:rPr>
              <w:t xml:space="preserve">                 </w:t>
            </w:r>
            <w:r w:rsidRPr="00AB760B">
              <w:rPr>
                <w:sz w:val="24"/>
                <w:szCs w:val="24"/>
                <w:lang w:val="uz-Cyrl-UZ"/>
              </w:rPr>
              <w:t xml:space="preserve"> 820 844 </w:t>
            </w:r>
            <w:r w:rsidRPr="00AB760B">
              <w:rPr>
                <w:sz w:val="24"/>
                <w:szCs w:val="24"/>
                <w:lang w:val="en-US"/>
              </w:rPr>
              <w:t>USD</w:t>
            </w:r>
            <w:r w:rsidRPr="00AB760B">
              <w:rPr>
                <w:sz w:val="24"/>
                <w:szCs w:val="24"/>
                <w:lang w:val="uz-Cyrl-UZ"/>
              </w:rPr>
              <w:t>)</w:t>
            </w:r>
          </w:p>
        </w:tc>
      </w:tr>
      <w:tr w:rsidR="00AB760B" w:rsidRPr="00AB760B" w14:paraId="6236D182" w14:textId="77777777" w:rsidTr="00BE79B8">
        <w:tc>
          <w:tcPr>
            <w:tcW w:w="458" w:type="dxa"/>
          </w:tcPr>
          <w:p w14:paraId="27905CD9" w14:textId="77777777" w:rsidR="00AB760B" w:rsidRPr="00AB760B" w:rsidRDefault="00AB760B" w:rsidP="00AB760B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>4</w:t>
            </w:r>
          </w:p>
        </w:tc>
        <w:tc>
          <w:tcPr>
            <w:tcW w:w="5633" w:type="dxa"/>
          </w:tcPr>
          <w:p w14:paraId="6846C2BA" w14:textId="77777777" w:rsidR="00AB760B" w:rsidRPr="00AB760B" w:rsidRDefault="00AB760B" w:rsidP="00AB760B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en-US"/>
              </w:rPr>
              <w:t>Consortium</w:t>
            </w:r>
            <w:r w:rsidRPr="00AB760B">
              <w:rPr>
                <w:sz w:val="24"/>
                <w:szCs w:val="24"/>
                <w:lang w:val="uz-Cyrl-UZ"/>
              </w:rPr>
              <w:t xml:space="preserve"> SMEC International Pty.Ltd., Index Consulting Company, </w:t>
            </w:r>
            <w:r w:rsidRPr="00AB760B">
              <w:rPr>
                <w:sz w:val="24"/>
                <w:szCs w:val="24"/>
                <w:lang w:val="en-US"/>
              </w:rPr>
              <w:t>LLC</w:t>
            </w:r>
            <w:r w:rsidRPr="00AB760B">
              <w:rPr>
                <w:sz w:val="24"/>
                <w:szCs w:val="24"/>
                <w:lang w:val="uz-Cyrl-UZ"/>
              </w:rPr>
              <w:t xml:space="preserve"> «</w:t>
            </w:r>
            <w:r w:rsidRPr="00AB760B">
              <w:rPr>
                <w:sz w:val="24"/>
                <w:szCs w:val="24"/>
                <w:lang w:val="en-US"/>
              </w:rPr>
              <w:t>Qurilishloyiha</w:t>
            </w:r>
            <w:r w:rsidRPr="00AB760B">
              <w:rPr>
                <w:sz w:val="24"/>
                <w:szCs w:val="24"/>
                <w:lang w:val="uz-Cyrl-UZ"/>
              </w:rPr>
              <w:t>»</w:t>
            </w:r>
          </w:p>
        </w:tc>
        <w:tc>
          <w:tcPr>
            <w:tcW w:w="3260" w:type="dxa"/>
          </w:tcPr>
          <w:p w14:paraId="7DA947DC" w14:textId="77777777" w:rsidR="00AB760B" w:rsidRPr="00AB760B" w:rsidRDefault="00AB760B" w:rsidP="00AB760B">
            <w:pPr>
              <w:jc w:val="both"/>
              <w:rPr>
                <w:sz w:val="24"/>
                <w:szCs w:val="24"/>
                <w:lang w:val="uz-Cyrl-UZ"/>
              </w:rPr>
            </w:pPr>
            <w:r w:rsidRPr="00AB760B">
              <w:rPr>
                <w:sz w:val="24"/>
                <w:szCs w:val="24"/>
                <w:lang w:val="uz-Cyrl-UZ"/>
              </w:rPr>
              <w:t xml:space="preserve">4 785 120 USD excluding VAT and other specified taxes (taxes 909 346 </w:t>
            </w:r>
            <w:r w:rsidRPr="00AB760B">
              <w:rPr>
                <w:sz w:val="24"/>
                <w:szCs w:val="24"/>
                <w:lang w:val="en-US"/>
              </w:rPr>
              <w:t>USD</w:t>
            </w:r>
            <w:r w:rsidRPr="00AB760B">
              <w:rPr>
                <w:sz w:val="24"/>
                <w:szCs w:val="24"/>
                <w:lang w:val="uz-Cyrl-UZ"/>
              </w:rPr>
              <w:t>)</w:t>
            </w:r>
          </w:p>
        </w:tc>
      </w:tr>
    </w:tbl>
    <w:p w14:paraId="6C105B8A" w14:textId="77777777" w:rsidR="00AB760B" w:rsidRPr="00AB760B" w:rsidRDefault="00AB760B" w:rsidP="00AB760B">
      <w:pPr>
        <w:spacing w:before="240"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AB760B">
        <w:rPr>
          <w:rFonts w:ascii="Times New Roman" w:eastAsia="Calibri" w:hAnsi="Times New Roman" w:cs="Times New Roman"/>
          <w:b/>
          <w:sz w:val="24"/>
          <w:szCs w:val="24"/>
          <w:lang w:val="en-US"/>
        </w:rPr>
        <w:t>Consultants whose Proposals were rejected or were not evaluated:</w:t>
      </w:r>
    </w:p>
    <w:p w14:paraId="4A94ABE0" w14:textId="3C5EA8A2" w:rsidR="00AB760B" w:rsidRPr="00AB760B" w:rsidRDefault="00AB760B" w:rsidP="00AB760B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Consortium China Urban Construction Design and Research Institute Co. (CUCD), Ltd, Tamirloyiha LLC – proposal of this </w:t>
      </w:r>
      <w:r w:rsidR="001258BD">
        <w:rPr>
          <w:rFonts w:ascii="Times New Roman" w:hAnsi="Times New Roman" w:cs="Times New Roman"/>
          <w:sz w:val="24"/>
          <w:szCs w:val="24"/>
          <w:lang w:val="en-US"/>
        </w:rPr>
        <w:t>consultant</w:t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 didn’t pass technical evaluation stage. </w:t>
      </w:r>
    </w:p>
    <w:p w14:paraId="44929C32" w14:textId="62017C6A" w:rsidR="00AB760B" w:rsidRPr="00AB760B" w:rsidRDefault="00AB760B" w:rsidP="00AB760B">
      <w:pPr>
        <w:spacing w:before="120"/>
        <w:rPr>
          <w:rFonts w:ascii="Times New Roman" w:hAnsi="Times New Roman" w:cs="Times New Roman"/>
          <w:sz w:val="24"/>
          <w:szCs w:val="24"/>
          <w:lang w:val="en-US"/>
        </w:rPr>
      </w:pPr>
      <w:r w:rsidRPr="00AB760B">
        <w:rPr>
          <w:rFonts w:ascii="Times New Roman" w:hAnsi="Times New Roman" w:cs="Times New Roman"/>
          <w:sz w:val="24"/>
          <w:szCs w:val="24"/>
          <w:lang w:val="en-US"/>
        </w:rPr>
        <w:t>Consortium Engineers Salzgitter GmbH (Germany), SCE (France), Taza Suv LLC (Uzbekistan)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1258BD">
        <w:rPr>
          <w:rFonts w:ascii="Times New Roman" w:hAnsi="Times New Roman" w:cs="Times New Roman"/>
          <w:sz w:val="24"/>
          <w:szCs w:val="24"/>
          <w:lang w:val="en-US"/>
        </w:rPr>
        <w:t>consultant</w:t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 didn’t submit a proposal.</w:t>
      </w:r>
    </w:p>
    <w:p w14:paraId="477F129D" w14:textId="77777777" w:rsidR="00AB760B" w:rsidRPr="00AB760B" w:rsidRDefault="00AB760B" w:rsidP="00AB760B">
      <w:pPr>
        <w:spacing w:before="12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AB760B">
        <w:rPr>
          <w:rFonts w:ascii="Times New Roman" w:eastAsia="Calibri" w:hAnsi="Times New Roman" w:cs="Times New Roman"/>
          <w:b/>
          <w:sz w:val="24"/>
          <w:szCs w:val="24"/>
          <w:lang w:val="en-US"/>
        </w:rPr>
        <w:t>Successful consultant:</w:t>
      </w:r>
    </w:p>
    <w:p w14:paraId="70F9F2D0" w14:textId="25626516" w:rsidR="00AB760B" w:rsidRPr="00AB760B" w:rsidRDefault="00AB760B" w:rsidP="00BE79B8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The contract BWSP/QCBS-S/02 “Development of a detailed design and estimate documentation for construction works by sewerage system” was signed with Consortium Nicholas O’Dwyer Ltd., Eurasian Consulting and Engineering Services LLC, Engineering Asia Group for amount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BE79B8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>1 371 500 EURO + 4 544 200 USD on May 1</w:t>
      </w:r>
      <w:r w:rsidR="00BE79B8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, 2022. The duration of contract is 18 months. </w:t>
      </w:r>
      <w:r w:rsidR="00BE79B8" w:rsidRPr="00BE79B8">
        <w:rPr>
          <w:rFonts w:ascii="Times New Roman" w:hAnsi="Times New Roman" w:cs="Times New Roman"/>
          <w:sz w:val="24"/>
          <w:szCs w:val="24"/>
          <w:lang w:val="en-US"/>
        </w:rPr>
        <w:t>The Consultancy assignment covers Component 2: Sewerage – of the Project. The consultant shall prepare the detailed engineering design and the correspond</w:t>
      </w:r>
      <w:r w:rsidR="001258BD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BE79B8" w:rsidRPr="00BE79B8">
        <w:rPr>
          <w:rFonts w:ascii="Times New Roman" w:hAnsi="Times New Roman" w:cs="Times New Roman"/>
          <w:sz w:val="24"/>
          <w:szCs w:val="24"/>
          <w:lang w:val="en-US"/>
        </w:rPr>
        <w:t xml:space="preserve"> reports for all subprojects of the sewerage component. Expected </w:t>
      </w:r>
      <w:r w:rsidR="001258BD">
        <w:rPr>
          <w:rFonts w:ascii="Times New Roman" w:hAnsi="Times New Roman" w:cs="Times New Roman"/>
          <w:sz w:val="24"/>
          <w:szCs w:val="24"/>
          <w:lang w:val="en-US"/>
        </w:rPr>
        <w:t>outputs</w:t>
      </w:r>
      <w:r w:rsidR="00BE79B8" w:rsidRPr="00BE79B8">
        <w:rPr>
          <w:rFonts w:ascii="Times New Roman" w:hAnsi="Times New Roman" w:cs="Times New Roman"/>
          <w:sz w:val="24"/>
          <w:szCs w:val="24"/>
          <w:lang w:val="en-US"/>
        </w:rPr>
        <w:t xml:space="preserve"> are all documents required for preparing the tender documents for construction works including – on subproject level - the Environmental and Social (E&amp;S) studies in accordance with AIIB regulations and national requirements</w:t>
      </w:r>
      <w:r w:rsidRPr="00AB760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3FE51757" w14:textId="77777777" w:rsidR="00AB760B" w:rsidRPr="00AB760B" w:rsidRDefault="00AB760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AB760B" w:rsidRPr="00AB76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5BF40" w14:textId="77777777" w:rsidR="001258BD" w:rsidRDefault="001258BD" w:rsidP="001258BD">
      <w:pPr>
        <w:spacing w:after="0" w:line="240" w:lineRule="auto"/>
      </w:pPr>
      <w:r>
        <w:separator/>
      </w:r>
    </w:p>
  </w:endnote>
  <w:endnote w:type="continuationSeparator" w:id="0">
    <w:p w14:paraId="2C67AF7F" w14:textId="77777777" w:rsidR="001258BD" w:rsidRDefault="001258BD" w:rsidP="00125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6CCD3" w14:textId="77777777" w:rsidR="001258BD" w:rsidRDefault="001258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8383A" w14:textId="77777777" w:rsidR="001258BD" w:rsidRDefault="001258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C6438" w14:textId="77777777" w:rsidR="001258BD" w:rsidRDefault="001258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E8223" w14:textId="77777777" w:rsidR="001258BD" w:rsidRDefault="001258BD" w:rsidP="001258BD">
      <w:pPr>
        <w:spacing w:after="0" w:line="240" w:lineRule="auto"/>
      </w:pPr>
      <w:r>
        <w:separator/>
      </w:r>
    </w:p>
  </w:footnote>
  <w:footnote w:type="continuationSeparator" w:id="0">
    <w:p w14:paraId="027C5CDC" w14:textId="77777777" w:rsidR="001258BD" w:rsidRDefault="001258BD" w:rsidP="00125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CED03" w14:textId="77777777" w:rsidR="001258BD" w:rsidRDefault="001258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393AD" w14:textId="1E3D3035" w:rsidR="001258BD" w:rsidRDefault="001258B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C6F14E2" wp14:editId="25C5B6B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5f4e409d9e39872bcd14f171" descr="{&quot;HashCode&quot;:1605846831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27D271B" w14:textId="1CF92273" w:rsidR="001258BD" w:rsidRPr="001258BD" w:rsidRDefault="001258BD" w:rsidP="001258BD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1258BD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*OFFICIAL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6F14E2" id="_x0000_t202" coordsize="21600,21600" o:spt="202" path="m,l,21600r21600,l21600,xe">
              <v:stroke joinstyle="miter"/>
              <v:path gradientshapeok="t" o:connecttype="rect"/>
            </v:shapetype>
            <v:shape id="MSIPCM5f4e409d9e39872bcd14f171" o:spid="_x0000_s1026" type="#_x0000_t202" alt="{&quot;HashCode&quot;:1605846831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fill o:detectmouseclick="t"/>
              <v:textbox inset=",0,20pt,0">
                <w:txbxContent>
                  <w:p w14:paraId="227D271B" w14:textId="1CF92273" w:rsidR="001258BD" w:rsidRPr="001258BD" w:rsidRDefault="001258BD" w:rsidP="001258BD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1258BD">
                      <w:rPr>
                        <w:rFonts w:ascii="Calibri" w:hAnsi="Calibri" w:cs="Calibri"/>
                        <w:color w:val="000000"/>
                        <w:sz w:val="24"/>
                      </w:rPr>
                      <w:t>*OFFICIAL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B0D9" w14:textId="77777777" w:rsidR="001258BD" w:rsidRDefault="001258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2775C"/>
    <w:multiLevelType w:val="hybridMultilevel"/>
    <w:tmpl w:val="92D0D268"/>
    <w:lvl w:ilvl="0" w:tplc="99B89F50">
      <w:start w:val="1"/>
      <w:numFmt w:val="lowerLetter"/>
      <w:lvlText w:val="(%1)"/>
      <w:lvlJc w:val="left"/>
      <w:pPr>
        <w:ind w:left="11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811230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95"/>
    <w:rsid w:val="001258BD"/>
    <w:rsid w:val="0046314F"/>
    <w:rsid w:val="00AB760B"/>
    <w:rsid w:val="00B01EF8"/>
    <w:rsid w:val="00B25ABB"/>
    <w:rsid w:val="00BE79B8"/>
    <w:rsid w:val="00C11795"/>
    <w:rsid w:val="00D5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C70778"/>
  <w15:chartTrackingRefBased/>
  <w15:docId w15:val="{0B26D849-2E18-4FBF-8EAD-5E755335D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C11795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C1179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aliases w:val="Citation List,본문(내용),List Paragraph (numbered (a)),Colorful List - Accent 11,ADB List Paragraph,List Paragraph1,Recommendation,List Paragraph11,Bulleted List Paragraph,List_Paragraph,Multilevel para_II,Graphic,Resume Title,References"/>
    <w:basedOn w:val="Normal"/>
    <w:link w:val="ListParagraphChar"/>
    <w:uiPriority w:val="34"/>
    <w:qFormat/>
    <w:rsid w:val="00C117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Citation List Char,본문(내용) Char,List Paragraph (numbered (a)) Char,Colorful List - Accent 11 Char,ADB List Paragraph Char,List Paragraph1 Char,Recommendation Char,List Paragraph11 Char,Bulleted List Paragraph Char,List_Paragraph Char"/>
    <w:basedOn w:val="DefaultParagraphFont"/>
    <w:link w:val="ListParagraph"/>
    <w:uiPriority w:val="34"/>
    <w:qFormat/>
    <w:rsid w:val="00C11795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C117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51A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58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8BD"/>
  </w:style>
  <w:style w:type="paragraph" w:styleId="Footer">
    <w:name w:val="footer"/>
    <w:basedOn w:val="Normal"/>
    <w:link w:val="FooterChar"/>
    <w:uiPriority w:val="99"/>
    <w:unhideWhenUsed/>
    <w:rsid w:val="001258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2076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Chitambala John Sikazwe</cp:lastModifiedBy>
  <cp:revision>2</cp:revision>
  <dcterms:created xsi:type="dcterms:W3CDTF">2022-10-12T05:17:00Z</dcterms:created>
  <dcterms:modified xsi:type="dcterms:W3CDTF">2022-10-12T05:17:00Z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41c926-a14a-41de-ac3f-1745125a8630_Enabled">
    <vt:lpwstr>true</vt:lpwstr>
  </property>
  <property fmtid="{D5CDD505-2E9C-101B-9397-08002B2CF9AE}" pid="3" name="MSIP_Label_2b41c926-a14a-41de-ac3f-1745125a8630_SetDate">
    <vt:lpwstr>2022-10-12T05:16:33Z</vt:lpwstr>
  </property>
  <property fmtid="{D5CDD505-2E9C-101B-9397-08002B2CF9AE}" pid="4" name="MSIP_Label_2b41c926-a14a-41de-ac3f-1745125a8630_Method">
    <vt:lpwstr>Standard</vt:lpwstr>
  </property>
  <property fmtid="{D5CDD505-2E9C-101B-9397-08002B2CF9AE}" pid="5" name="MSIP_Label_2b41c926-a14a-41de-ac3f-1745125a8630_Name">
    <vt:lpwstr>OFFICIAL USE ONLY</vt:lpwstr>
  </property>
  <property fmtid="{D5CDD505-2E9C-101B-9397-08002B2CF9AE}" pid="6" name="MSIP_Label_2b41c926-a14a-41de-ac3f-1745125a8630_SiteId">
    <vt:lpwstr>31ea652b-27c2-4f52-9f81-91ce42d48e6f</vt:lpwstr>
  </property>
  <property fmtid="{D5CDD505-2E9C-101B-9397-08002B2CF9AE}" pid="7" name="MSIP_Label_2b41c926-a14a-41de-ac3f-1745125a8630_ActionId">
    <vt:lpwstr>db0ae43f-80a1-4e42-be5e-6d71b61297c6</vt:lpwstr>
  </property>
  <property fmtid="{D5CDD505-2E9C-101B-9397-08002B2CF9AE}" pid="8" name="MSIP_Label_2b41c926-a14a-41de-ac3f-1745125a8630_ContentBits">
    <vt:lpwstr>1</vt:lpwstr>
  </property>
</Properties>
</file>