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C08C" w14:textId="77777777" w:rsidR="00C11795" w:rsidRPr="00AB760B" w:rsidRDefault="00AB760B" w:rsidP="00BE79B8">
      <w:pPr>
        <w:pStyle w:val="BodyTextIndent2"/>
        <w:tabs>
          <w:tab w:val="left" w:pos="774"/>
        </w:tabs>
        <w:spacing w:after="240"/>
        <w:ind w:left="0" w:firstLine="0"/>
        <w:jc w:val="center"/>
        <w:rPr>
          <w:rFonts w:eastAsiaTheme="minorHAnsi"/>
          <w:b/>
        </w:rPr>
      </w:pPr>
      <w:r w:rsidRPr="00AB760B">
        <w:rPr>
          <w:rFonts w:eastAsiaTheme="minorHAnsi"/>
          <w:b/>
        </w:rPr>
        <w:t xml:space="preserve">BWSP/QCBS-W/01 </w:t>
      </w:r>
      <w:r w:rsidR="00C11795" w:rsidRPr="00AB760B">
        <w:rPr>
          <w:rFonts w:eastAsiaTheme="minorHAnsi"/>
          <w:b/>
        </w:rPr>
        <w:t>Contract Award Notice</w:t>
      </w:r>
    </w:p>
    <w:p w14:paraId="662D81BD" w14:textId="77777777" w:rsidR="00C11795" w:rsidRPr="00AB760B" w:rsidRDefault="00C11795" w:rsidP="00C11795">
      <w:pPr>
        <w:tabs>
          <w:tab w:val="left" w:pos="567"/>
          <w:tab w:val="right" w:pos="7306"/>
        </w:tabs>
        <w:spacing w:before="120" w:after="120"/>
        <w:ind w:left="567" w:hanging="567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of the Client: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JSC “Uzsuvtaminot”</w:t>
      </w:r>
    </w:p>
    <w:p w14:paraId="7AD7296A" w14:textId="77777777" w:rsidR="00C11795" w:rsidRPr="00AB760B" w:rsidRDefault="00C11795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address: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Republic of Uzbekistan, Tashkent city, Niyozbek yuli str. 1.</w:t>
      </w:r>
    </w:p>
    <w:p w14:paraId="2B5CCE15" w14:textId="77777777" w:rsidR="00C11795" w:rsidRPr="00AB760B" w:rsidRDefault="00C11795" w:rsidP="00AB760B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>Contract name:</w:t>
      </w:r>
      <w:r w:rsidRPr="00AB760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BWSP/QCBS-W/01 “Development of a detailed design and estimate documentation for construction works by water supply system”</w:t>
      </w:r>
    </w:p>
    <w:p w14:paraId="225AB7CC" w14:textId="77777777" w:rsidR="00C11795" w:rsidRPr="00AB760B" w:rsidRDefault="00C117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>Method of Selection</w:t>
      </w:r>
      <w:r w:rsidRPr="00AB760B">
        <w:rPr>
          <w:rFonts w:ascii="Times New Roman" w:hAnsi="Times New Roman" w:cs="Times New Roman"/>
          <w:sz w:val="24"/>
          <w:szCs w:val="24"/>
        </w:rPr>
        <w:t>: QCBS</w:t>
      </w:r>
    </w:p>
    <w:p w14:paraId="0D49E17B" w14:textId="77777777" w:rsidR="00C11795" w:rsidRPr="00AB760B" w:rsidRDefault="00C11795">
      <w:pPr>
        <w:rPr>
          <w:rFonts w:ascii="Times New Roman" w:hAnsi="Times New Roman" w:cs="Times New Roman"/>
          <w:b/>
          <w:sz w:val="24"/>
          <w:szCs w:val="24"/>
        </w:rPr>
      </w:pPr>
      <w:r w:rsidRPr="00AB760B">
        <w:rPr>
          <w:rFonts w:ascii="Times New Roman" w:hAnsi="Times New Roman" w:cs="Times New Roman"/>
          <w:b/>
          <w:sz w:val="24"/>
          <w:szCs w:val="24"/>
        </w:rPr>
        <w:t>Consultants that submitted proposals:</w:t>
      </w:r>
    </w:p>
    <w:tbl>
      <w:tblPr>
        <w:tblStyle w:val="TableGrid"/>
        <w:tblW w:w="9340" w:type="dxa"/>
        <w:tblLook w:val="04A0" w:firstRow="1" w:lastRow="0" w:firstColumn="1" w:lastColumn="0" w:noHBand="0" w:noVBand="1"/>
      </w:tblPr>
      <w:tblGrid>
        <w:gridCol w:w="458"/>
        <w:gridCol w:w="6341"/>
        <w:gridCol w:w="2541"/>
      </w:tblGrid>
      <w:tr w:rsidR="00C11795" w:rsidRPr="00AB760B" w14:paraId="71983638" w14:textId="77777777" w:rsidTr="00BE79B8">
        <w:tc>
          <w:tcPr>
            <w:tcW w:w="458" w:type="dxa"/>
          </w:tcPr>
          <w:p w14:paraId="665BF363" w14:textId="77777777" w:rsidR="00C11795" w:rsidRPr="00AB760B" w:rsidRDefault="00C11795" w:rsidP="002E6CE2">
            <w:pPr>
              <w:jc w:val="both"/>
              <w:rPr>
                <w:b/>
                <w:sz w:val="24"/>
                <w:szCs w:val="24"/>
                <w:lang w:val="uz-Cyrl-UZ"/>
              </w:rPr>
            </w:pPr>
            <w:r w:rsidRPr="00AB760B">
              <w:rPr>
                <w:b/>
                <w:sz w:val="24"/>
                <w:szCs w:val="24"/>
                <w:lang w:val="uz-Cyrl-UZ"/>
              </w:rPr>
              <w:t>№</w:t>
            </w:r>
          </w:p>
        </w:tc>
        <w:tc>
          <w:tcPr>
            <w:tcW w:w="6341" w:type="dxa"/>
          </w:tcPr>
          <w:p w14:paraId="709516A5" w14:textId="77777777" w:rsidR="00C11795" w:rsidRPr="00AB760B" w:rsidRDefault="00C11795" w:rsidP="002E6CE2">
            <w:pPr>
              <w:jc w:val="both"/>
              <w:rPr>
                <w:b/>
                <w:sz w:val="24"/>
                <w:szCs w:val="24"/>
                <w:lang w:val="uz-Cyrl-UZ"/>
              </w:rPr>
            </w:pPr>
            <w:r w:rsidRPr="00AB760B">
              <w:rPr>
                <w:b/>
                <w:sz w:val="24"/>
                <w:szCs w:val="24"/>
                <w:lang w:val="uz-Cyrl-UZ"/>
              </w:rPr>
              <w:t>Selection participant</w:t>
            </w:r>
          </w:p>
        </w:tc>
        <w:tc>
          <w:tcPr>
            <w:tcW w:w="2541" w:type="dxa"/>
          </w:tcPr>
          <w:p w14:paraId="2292B78C" w14:textId="77777777" w:rsidR="00C11795" w:rsidRPr="00AB760B" w:rsidRDefault="00C11795" w:rsidP="002E6CE2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AB760B">
              <w:rPr>
                <w:b/>
                <w:sz w:val="24"/>
                <w:szCs w:val="24"/>
                <w:lang w:val="en-US"/>
              </w:rPr>
              <w:t xml:space="preserve">Financial Proposal </w:t>
            </w:r>
          </w:p>
        </w:tc>
      </w:tr>
      <w:tr w:rsidR="00C11795" w:rsidRPr="00AB760B" w14:paraId="4C900F1A" w14:textId="77777777" w:rsidTr="00BE79B8">
        <w:tc>
          <w:tcPr>
            <w:tcW w:w="458" w:type="dxa"/>
          </w:tcPr>
          <w:p w14:paraId="776503AB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1</w:t>
            </w:r>
          </w:p>
        </w:tc>
        <w:tc>
          <w:tcPr>
            <w:tcW w:w="6341" w:type="dxa"/>
          </w:tcPr>
          <w:p w14:paraId="794AA4BD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>Consortium</w:t>
            </w:r>
            <w:r w:rsidRPr="00AB760B">
              <w:rPr>
                <w:sz w:val="24"/>
                <w:szCs w:val="24"/>
                <w:lang w:val="uz-Cyrl-UZ"/>
              </w:rPr>
              <w:t xml:space="preserve"> Técnica y Proyectos, S.A. (TYPSA), Engineering Asia Group LLC, Eurasian Consulting and Engineering Services</w:t>
            </w:r>
          </w:p>
        </w:tc>
        <w:tc>
          <w:tcPr>
            <w:tcW w:w="2541" w:type="dxa"/>
          </w:tcPr>
          <w:p w14:paraId="3F9EDCF9" w14:textId="77777777" w:rsidR="00C11795" w:rsidRPr="00AB760B" w:rsidRDefault="00C11795" w:rsidP="00BE79B8">
            <w:pPr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11,574,100 USD excluding VAT and other specified taxes (taxes 4,050,935 USD)</w:t>
            </w:r>
          </w:p>
        </w:tc>
      </w:tr>
      <w:tr w:rsidR="00C11795" w:rsidRPr="00AB760B" w14:paraId="2E1E5353" w14:textId="77777777" w:rsidTr="00BE79B8">
        <w:tc>
          <w:tcPr>
            <w:tcW w:w="458" w:type="dxa"/>
          </w:tcPr>
          <w:p w14:paraId="4DA03FB2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2</w:t>
            </w:r>
          </w:p>
        </w:tc>
        <w:tc>
          <w:tcPr>
            <w:tcW w:w="6341" w:type="dxa"/>
          </w:tcPr>
          <w:p w14:paraId="17B8750B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>Consortium</w:t>
            </w:r>
            <w:r w:rsidRPr="00AB760B">
              <w:rPr>
                <w:sz w:val="24"/>
                <w:szCs w:val="24"/>
                <w:lang w:val="uz-Cyrl-UZ"/>
              </w:rPr>
              <w:t xml:space="preserve"> TÜMAŞ Turkish Engineering, Consulting and Contracting Co., SEURECA, ALTER International Engineering and Consulting Services Ltd., SUIS PROJE Engineering and Consulting Ltd., Global Business Services Ltd</w:t>
            </w:r>
          </w:p>
        </w:tc>
        <w:tc>
          <w:tcPr>
            <w:tcW w:w="2541" w:type="dxa"/>
          </w:tcPr>
          <w:p w14:paraId="1A6EF79F" w14:textId="77777777" w:rsidR="00C11795" w:rsidRPr="00AB760B" w:rsidRDefault="00C11795" w:rsidP="00BE79B8">
            <w:pPr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 xml:space="preserve">8 375 000 USD excluding VAT and other specified taxes (taxes 1 256 250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  <w:tr w:rsidR="00C11795" w:rsidRPr="00AB760B" w14:paraId="790EBDA0" w14:textId="77777777" w:rsidTr="00BE79B8">
        <w:tc>
          <w:tcPr>
            <w:tcW w:w="458" w:type="dxa"/>
          </w:tcPr>
          <w:p w14:paraId="5C6F5258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3</w:t>
            </w:r>
          </w:p>
        </w:tc>
        <w:tc>
          <w:tcPr>
            <w:tcW w:w="6341" w:type="dxa"/>
          </w:tcPr>
          <w:p w14:paraId="35B6E6D7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>Consortium</w:t>
            </w:r>
            <w:r w:rsidRPr="00AB760B">
              <w:rPr>
                <w:sz w:val="24"/>
                <w:szCs w:val="24"/>
                <w:lang w:val="uz-Cyrl-UZ"/>
              </w:rPr>
              <w:t xml:space="preserve"> Dong Myong Engineering Consultants &amp; Architecture Co., Ltd, Dohwa Engineering Consultants Co., Ltd., </w:t>
            </w:r>
            <w:r w:rsidRPr="00AB760B">
              <w:rPr>
                <w:sz w:val="24"/>
                <w:szCs w:val="24"/>
                <w:lang w:val="en-US"/>
              </w:rPr>
              <w:t>LLC</w:t>
            </w:r>
            <w:r w:rsidRPr="00AB760B">
              <w:rPr>
                <w:sz w:val="24"/>
                <w:szCs w:val="24"/>
                <w:lang w:val="uz-Cyrl-UZ"/>
              </w:rPr>
              <w:t xml:space="preserve"> «Апэксторипроект плюс», </w:t>
            </w:r>
            <w:r w:rsidRPr="00AB760B">
              <w:rPr>
                <w:sz w:val="24"/>
                <w:szCs w:val="24"/>
                <w:lang w:val="en-US"/>
              </w:rPr>
              <w:t>LLC</w:t>
            </w:r>
            <w:r w:rsidRPr="00AB760B">
              <w:rPr>
                <w:sz w:val="24"/>
                <w:szCs w:val="24"/>
                <w:lang w:val="uz-Cyrl-UZ"/>
              </w:rPr>
              <w:t xml:space="preserve"> «Текспроектстройсервис»</w:t>
            </w:r>
          </w:p>
        </w:tc>
        <w:tc>
          <w:tcPr>
            <w:tcW w:w="2541" w:type="dxa"/>
          </w:tcPr>
          <w:p w14:paraId="44C29D06" w14:textId="77777777" w:rsidR="00C11795" w:rsidRPr="00AB760B" w:rsidRDefault="00C11795" w:rsidP="00BE79B8">
            <w:pPr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 xml:space="preserve">10 788 006 USD excluding VAT and other specified taxes (taxes 1 618 201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  <w:tr w:rsidR="00C11795" w:rsidRPr="00AB760B" w14:paraId="70746279" w14:textId="77777777" w:rsidTr="00BE79B8">
        <w:tc>
          <w:tcPr>
            <w:tcW w:w="458" w:type="dxa"/>
          </w:tcPr>
          <w:p w14:paraId="458DAA25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4</w:t>
            </w:r>
          </w:p>
        </w:tc>
        <w:tc>
          <w:tcPr>
            <w:tcW w:w="6341" w:type="dxa"/>
          </w:tcPr>
          <w:p w14:paraId="66C53391" w14:textId="77777777" w:rsidR="00C11795" w:rsidRPr="00AB760B" w:rsidRDefault="00C11795" w:rsidP="002E6CE2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 xml:space="preserve">Consortium </w:t>
            </w:r>
            <w:r w:rsidRPr="00AB760B">
              <w:rPr>
                <w:sz w:val="24"/>
                <w:szCs w:val="24"/>
                <w:lang w:val="uz-Cyrl-UZ"/>
              </w:rPr>
              <w:t xml:space="preserve">SMEC International Pty. Ltd., Index Consulting Co., </w:t>
            </w:r>
            <w:r w:rsidRPr="00AB760B">
              <w:rPr>
                <w:sz w:val="24"/>
                <w:szCs w:val="24"/>
                <w:lang w:val="en-US"/>
              </w:rPr>
              <w:t>UZLITI Engineering</w:t>
            </w:r>
            <w:r w:rsidRPr="00AB760B">
              <w:rPr>
                <w:sz w:val="24"/>
                <w:szCs w:val="24"/>
                <w:lang w:val="uz-Cyrl-UZ"/>
              </w:rPr>
              <w:t xml:space="preserve">, </w:t>
            </w:r>
            <w:r w:rsidRPr="00AB760B">
              <w:rPr>
                <w:sz w:val="24"/>
                <w:szCs w:val="24"/>
                <w:lang w:val="en-US"/>
              </w:rPr>
              <w:t xml:space="preserve">Eco standard Expert </w:t>
            </w:r>
          </w:p>
        </w:tc>
        <w:tc>
          <w:tcPr>
            <w:tcW w:w="2541" w:type="dxa"/>
          </w:tcPr>
          <w:p w14:paraId="3658319F" w14:textId="77777777" w:rsidR="00C11795" w:rsidRPr="00AB760B" w:rsidRDefault="00C11795" w:rsidP="00BE79B8">
            <w:pPr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 xml:space="preserve">9 025 828 USD excluding VAT and other specified taxes (taxes 1 588 682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</w:tbl>
    <w:p w14:paraId="3BF2A143" w14:textId="77777777" w:rsidR="00C11795" w:rsidRPr="00AB760B" w:rsidRDefault="00C11795" w:rsidP="00C11795">
      <w:pPr>
        <w:spacing w:before="240"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B760B">
        <w:rPr>
          <w:rFonts w:ascii="Times New Roman" w:eastAsia="Calibri" w:hAnsi="Times New Roman" w:cs="Times New Roman"/>
          <w:b/>
          <w:sz w:val="24"/>
          <w:szCs w:val="24"/>
          <w:lang w:val="en-US"/>
        </w:rPr>
        <w:t>Consultants whose Proposals were rejected or were not evaluated:</w:t>
      </w:r>
    </w:p>
    <w:p w14:paraId="662150FE" w14:textId="3EFE377B" w:rsidR="00C11795" w:rsidRPr="00AB760B" w:rsidRDefault="00C11795" w:rsidP="00AB760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Consortium China Urban Construction Design and Research Institute Co. (CUCD), Ltd, Tamirloyiha LLC </w:t>
      </w:r>
      <w:r w:rsidR="00D51ADA"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–proposal of this </w:t>
      </w:r>
      <w:r w:rsidR="00382793">
        <w:rPr>
          <w:rFonts w:ascii="Times New Roman" w:hAnsi="Times New Roman" w:cs="Times New Roman"/>
          <w:sz w:val="24"/>
          <w:szCs w:val="24"/>
          <w:lang w:val="en-US"/>
        </w:rPr>
        <w:t>consultant</w:t>
      </w:r>
      <w:r w:rsidR="00D51ADA"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didn’t pass technical evaluation stage. </w:t>
      </w:r>
    </w:p>
    <w:p w14:paraId="272D0F52" w14:textId="56330E5F" w:rsidR="00D51ADA" w:rsidRPr="00AB760B" w:rsidRDefault="00D51ADA" w:rsidP="00AB760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Consortium SUEZ Consulting (SAFEGE) (France), Egis Water and Maritime (France) – </w:t>
      </w:r>
      <w:r w:rsidR="00382793">
        <w:rPr>
          <w:rFonts w:ascii="Times New Roman" w:hAnsi="Times New Roman" w:cs="Times New Roman"/>
          <w:sz w:val="24"/>
          <w:szCs w:val="24"/>
          <w:lang w:val="en-US"/>
        </w:rPr>
        <w:t>consultant withdrew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82793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selection process </w:t>
      </w:r>
      <w:r w:rsidR="00382793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shortlisted.</w:t>
      </w:r>
    </w:p>
    <w:p w14:paraId="06B1779D" w14:textId="77777777" w:rsidR="00D51ADA" w:rsidRPr="00AB760B" w:rsidRDefault="00D51ADA" w:rsidP="00C11795">
      <w:pPr>
        <w:spacing w:before="12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B760B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Successful consultant:</w:t>
      </w:r>
    </w:p>
    <w:p w14:paraId="614665B3" w14:textId="29A00495" w:rsidR="00D51ADA" w:rsidRPr="00AB760B" w:rsidRDefault="00D51ADA" w:rsidP="00AB760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The contract BWSP/QCBS-W/01 “Development of a detailed design and estimate documentation for construction works by water supply system” was signed with Joint Venture TUMA$ Turkish Engineering, Consulting and Contracting Co. &amp; SEURECA for amount </w:t>
      </w:r>
      <w:r w:rsidR="00AB760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AB760B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8 375 000 USD</w:t>
      </w:r>
      <w:r w:rsidR="0046314F"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on May 13, 2022. The duration of contract is 18 month</w:t>
      </w:r>
      <w:r w:rsidR="00AB760B"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s. </w:t>
      </w:r>
      <w:r w:rsidR="0046314F"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The Consultancy assignment covers Component 1 – Water supply – of the Project. The consultant shall prepare the detailed engineering design and the correspondent reports for all subprojects of the water supply component. Expected </w:t>
      </w:r>
      <w:r w:rsidR="00382793">
        <w:rPr>
          <w:rFonts w:ascii="Times New Roman" w:hAnsi="Times New Roman" w:cs="Times New Roman"/>
          <w:sz w:val="24"/>
          <w:szCs w:val="24"/>
          <w:lang w:val="en-US"/>
        </w:rPr>
        <w:t xml:space="preserve">outputs </w:t>
      </w:r>
      <w:r w:rsidR="0046314F" w:rsidRPr="00AB760B">
        <w:rPr>
          <w:rFonts w:ascii="Times New Roman" w:hAnsi="Times New Roman" w:cs="Times New Roman"/>
          <w:sz w:val="24"/>
          <w:szCs w:val="24"/>
          <w:lang w:val="en-US"/>
        </w:rPr>
        <w:t>are all documents required for preparing the tender documents for construction works including – on subproject level - the Environmental and Social (E&amp;S) studies in accordance with AIIB regulations and national requirements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64B86F8C" w14:textId="77777777" w:rsidR="00C11795" w:rsidRDefault="00C1179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29C40CD" w14:textId="77777777" w:rsidR="00BE79B8" w:rsidRDefault="00BE79B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E79B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6A1CE" w14:textId="77777777" w:rsidR="00CE6733" w:rsidRDefault="00CE6733" w:rsidP="00382793">
      <w:pPr>
        <w:spacing w:after="0" w:line="240" w:lineRule="auto"/>
      </w:pPr>
      <w:r>
        <w:separator/>
      </w:r>
    </w:p>
  </w:endnote>
  <w:endnote w:type="continuationSeparator" w:id="0">
    <w:p w14:paraId="5ADB8F9C" w14:textId="77777777" w:rsidR="00CE6733" w:rsidRDefault="00CE6733" w:rsidP="0038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7202" w14:textId="77777777" w:rsidR="00CE6733" w:rsidRDefault="00CE6733" w:rsidP="00382793">
      <w:pPr>
        <w:spacing w:after="0" w:line="240" w:lineRule="auto"/>
      </w:pPr>
      <w:r>
        <w:separator/>
      </w:r>
    </w:p>
  </w:footnote>
  <w:footnote w:type="continuationSeparator" w:id="0">
    <w:p w14:paraId="574EEAE3" w14:textId="77777777" w:rsidR="00CE6733" w:rsidRDefault="00CE6733" w:rsidP="00382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A6BB" w14:textId="2E7770E9" w:rsidR="00382793" w:rsidRDefault="0038279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7335C6F" wp14:editId="1B9043D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3bc402eb687911dde46e167" descr="{&quot;HashCode&quot;:1605846831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063E7D" w14:textId="7B8F2CC8" w:rsidR="00382793" w:rsidRPr="00382793" w:rsidRDefault="00382793" w:rsidP="00382793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382793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35C6F" id="_x0000_t202" coordsize="21600,21600" o:spt="202" path="m,l,21600r21600,l21600,xe">
              <v:stroke joinstyle="miter"/>
              <v:path gradientshapeok="t" o:connecttype="rect"/>
            </v:shapetype>
            <v:shape id="MSIPCM63bc402eb687911dde46e167" o:spid="_x0000_s1026" type="#_x0000_t202" alt="{&quot;HashCode&quot;:1605846831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fill o:detectmouseclick="t"/>
              <v:textbox inset=",0,20pt,0">
                <w:txbxContent>
                  <w:p w14:paraId="03063E7D" w14:textId="7B8F2CC8" w:rsidR="00382793" w:rsidRPr="00382793" w:rsidRDefault="00382793" w:rsidP="00382793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382793">
                      <w:rPr>
                        <w:rFonts w:ascii="Calibri" w:hAnsi="Calibri" w:cs="Calibri"/>
                        <w:color w:val="000000"/>
                        <w:sz w:val="24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2775C"/>
    <w:multiLevelType w:val="hybridMultilevel"/>
    <w:tmpl w:val="92D0D268"/>
    <w:lvl w:ilvl="0" w:tplc="99B89F50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811230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95"/>
    <w:rsid w:val="00382793"/>
    <w:rsid w:val="0046314F"/>
    <w:rsid w:val="0051148B"/>
    <w:rsid w:val="00751E57"/>
    <w:rsid w:val="00AB760B"/>
    <w:rsid w:val="00B01EF8"/>
    <w:rsid w:val="00BE79B8"/>
    <w:rsid w:val="00C11795"/>
    <w:rsid w:val="00CE6733"/>
    <w:rsid w:val="00D5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015DC"/>
  <w15:chartTrackingRefBased/>
  <w15:docId w15:val="{0B26D849-2E18-4FBF-8EAD-5E755335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11795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C1179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Citation List,본문(내용),List Paragraph (numbered (a)),Colorful List - Accent 11,ADB List Paragraph,List Paragraph1,Recommendation,List Paragraph11,Bulleted List Paragraph,List_Paragraph,Multilevel para_II,Graphic,Resume Title,References"/>
    <w:basedOn w:val="Normal"/>
    <w:link w:val="ListParagraphChar"/>
    <w:uiPriority w:val="34"/>
    <w:qFormat/>
    <w:rsid w:val="00C117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Citation List Char,본문(내용) Char,List Paragraph (numbered (a)) Char,Colorful List - Accent 11 Char,ADB List Paragraph Char,List Paragraph1 Char,Recommendation Char,List Paragraph11 Char,Bulleted List Paragraph Char,List_Paragraph Char"/>
    <w:basedOn w:val="DefaultParagraphFont"/>
    <w:link w:val="ListParagraph"/>
    <w:uiPriority w:val="34"/>
    <w:qFormat/>
    <w:rsid w:val="00C1179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11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51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793"/>
  </w:style>
  <w:style w:type="paragraph" w:styleId="Footer">
    <w:name w:val="footer"/>
    <w:basedOn w:val="Normal"/>
    <w:link w:val="FooterChar"/>
    <w:uiPriority w:val="99"/>
    <w:unhideWhenUsed/>
    <w:rsid w:val="00382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Chitambala John Sikazwe</cp:lastModifiedBy>
  <cp:revision>4</cp:revision>
  <dcterms:created xsi:type="dcterms:W3CDTF">2022-10-12T05:23:00Z</dcterms:created>
  <dcterms:modified xsi:type="dcterms:W3CDTF">2022-10-12T05:36:00Z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2022-10-12T05:36:43Z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97274813-86f9-48c0-af9a-ef827be02c71</vt:lpwstr>
  </property>
  <property fmtid="{D5CDD505-2E9C-101B-9397-08002B2CF9AE}" pid="8" name="MSIP_Label_2b41c926-a14a-41de-ac3f-1745125a8630_ContentBits">
    <vt:lpwstr>1</vt:lpwstr>
  </property>
</Properties>
</file>